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C545B18" w14:textId="77777777" w:rsidR="00E718F3" w:rsidRDefault="00E718F3" w:rsidP="00E718F3">
      <w:pPr>
        <w:rPr>
          <w:b/>
          <w:sz w:val="28"/>
          <w:szCs w:val="28"/>
        </w:rPr>
      </w:pPr>
      <w:r>
        <w:rPr>
          <w:b/>
          <w:sz w:val="28"/>
          <w:szCs w:val="28"/>
        </w:rPr>
        <w:t>Anglo-Saxon Felling and Chopping Axes: a summary of the research and archaeological evidence</w:t>
      </w:r>
    </w:p>
    <w:p w14:paraId="2B379797" w14:textId="77777777" w:rsidR="00E718F3" w:rsidRDefault="00E718F3" w:rsidP="00E718F3">
      <w:pPr>
        <w:rPr>
          <w:b/>
          <w:u w:val="single"/>
        </w:rPr>
      </w:pPr>
    </w:p>
    <w:p w14:paraId="0EBF369A" w14:textId="77777777" w:rsidR="00E718F3" w:rsidRDefault="00E718F3" w:rsidP="00E718F3">
      <w:pPr>
        <w:rPr>
          <w:color w:val="000000"/>
        </w:rPr>
      </w:pPr>
      <w:r>
        <w:rPr>
          <w:color w:val="000000"/>
        </w:rPr>
        <w:t>Alec Newland</w:t>
      </w:r>
    </w:p>
    <w:p w14:paraId="589E7501" w14:textId="77777777" w:rsidR="00E718F3" w:rsidRDefault="00E718F3" w:rsidP="00E718F3">
      <w:pPr>
        <w:rPr>
          <w:rFonts w:ascii="Times New Roman" w:eastAsia="Times New Roman" w:hAnsi="Times New Roman" w:cs="Times New Roman"/>
          <w:color w:val="000000"/>
        </w:rPr>
      </w:pPr>
    </w:p>
    <w:p w14:paraId="51FB9701" w14:textId="092DE52A" w:rsidR="00E718F3" w:rsidRDefault="00E718F3" w:rsidP="00E718F3">
      <w:r w:rsidRPr="002A0A46">
        <w:t xml:space="preserve">Document </w:t>
      </w:r>
      <w:r>
        <w:t xml:space="preserve">SHSC034, Issue 1.0 </w:t>
      </w:r>
    </w:p>
    <w:p w14:paraId="3BDCF3EE" w14:textId="77777777" w:rsidR="00E718F3" w:rsidRPr="002A0A46" w:rsidRDefault="00E718F3" w:rsidP="00E718F3">
      <w:pPr>
        <w:rPr>
          <w:rFonts w:asciiTheme="minorHAnsi" w:eastAsia="Times New Roman" w:hAnsiTheme="minorHAnsi" w:cstheme="minorHAnsi"/>
          <w:color w:val="000000"/>
        </w:rPr>
      </w:pPr>
    </w:p>
    <w:p w14:paraId="2686C0E3" w14:textId="77777777" w:rsidR="00E718F3" w:rsidRDefault="00E718F3" w:rsidP="00E718F3">
      <w:pPr>
        <w:rPr>
          <w:rFonts w:ascii="Times New Roman" w:eastAsia="Times New Roman" w:hAnsi="Times New Roman" w:cs="Times New Roman"/>
          <w:color w:val="000000"/>
        </w:rPr>
      </w:pPr>
      <w:r>
        <w:rPr>
          <w:color w:val="000000"/>
        </w:rPr>
        <w:t xml:space="preserve">The Sutton Hoo Ship’s Company, The Longshed, </w:t>
      </w:r>
      <w:proofErr w:type="spellStart"/>
      <w:r>
        <w:rPr>
          <w:color w:val="000000"/>
        </w:rPr>
        <w:t>Tidemill</w:t>
      </w:r>
      <w:proofErr w:type="spellEnd"/>
      <w:r>
        <w:rPr>
          <w:color w:val="000000"/>
        </w:rPr>
        <w:t xml:space="preserve"> Way, Woodbridge, IP12 1FP</w:t>
      </w:r>
    </w:p>
    <w:p w14:paraId="1AA28CA0" w14:textId="77777777" w:rsidR="00E718F3" w:rsidRDefault="00E718F3" w:rsidP="00E718F3">
      <w:pPr>
        <w:rPr>
          <w:rFonts w:ascii="Times New Roman" w:eastAsia="Times New Roman" w:hAnsi="Times New Roman" w:cs="Times New Roman"/>
          <w:color w:val="000000"/>
        </w:rPr>
      </w:pPr>
      <w:r>
        <w:rPr>
          <w:color w:val="000000"/>
        </w:rPr>
        <w:t>Email: alec@saxonship.org</w:t>
      </w:r>
    </w:p>
    <w:p w14:paraId="68F98687" w14:textId="77777777" w:rsidR="00E718F3" w:rsidRDefault="00E718F3" w:rsidP="00E718F3">
      <w:pPr>
        <w:rPr>
          <w:color w:val="000000"/>
        </w:rPr>
      </w:pPr>
      <w:r>
        <w:rPr>
          <w:color w:val="000000"/>
        </w:rPr>
        <w:t xml:space="preserve">Website: </w:t>
      </w:r>
      <w:hyperlink r:id="rId8" w:history="1">
        <w:r w:rsidRPr="000216DE">
          <w:rPr>
            <w:rStyle w:val="Hyperlink"/>
          </w:rPr>
          <w:t>www.saxonship.org</w:t>
        </w:r>
      </w:hyperlink>
    </w:p>
    <w:p w14:paraId="47AACFEB" w14:textId="77777777" w:rsidR="00E718F3" w:rsidRDefault="00E718F3" w:rsidP="00E718F3">
      <w:pPr>
        <w:rPr>
          <w:color w:val="000000"/>
        </w:rPr>
      </w:pPr>
    </w:p>
    <w:p w14:paraId="7EF75344" w14:textId="7E754097" w:rsidR="00E718F3" w:rsidRDefault="00E718F3" w:rsidP="00E718F3">
      <w:pPr>
        <w:rPr>
          <w:color w:val="000000"/>
        </w:rPr>
      </w:pPr>
      <w:r w:rsidRPr="00C45D88">
        <w:rPr>
          <w:color w:val="000000"/>
        </w:rPr>
        <w:t xml:space="preserve">Copyright © </w:t>
      </w:r>
      <w:r>
        <w:rPr>
          <w:color w:val="000000"/>
        </w:rPr>
        <w:t xml:space="preserve">2021 </w:t>
      </w:r>
      <w:r w:rsidRPr="00C45D88">
        <w:rPr>
          <w:color w:val="000000"/>
        </w:rPr>
        <w:t>The Sutton Hoo Ship’s Company. Permission granted to reproduce for personal and educational</w:t>
      </w:r>
      <w:r>
        <w:rPr>
          <w:color w:val="000000"/>
        </w:rPr>
        <w:t xml:space="preserve"> </w:t>
      </w:r>
      <w:r w:rsidRPr="00C45D88">
        <w:rPr>
          <w:color w:val="000000"/>
        </w:rPr>
        <w:t>use only. Commercial copying, hiring, lending is prohibited.</w:t>
      </w:r>
    </w:p>
    <w:p w14:paraId="7142634B" w14:textId="77777777" w:rsidR="00E718F3" w:rsidRDefault="00E718F3" w:rsidP="00E718F3">
      <w:pPr>
        <w:rPr>
          <w:rFonts w:ascii="Times New Roman" w:eastAsia="Times New Roman" w:hAnsi="Times New Roman" w:cs="Times New Roman"/>
          <w:color w:val="000000"/>
        </w:rPr>
      </w:pPr>
    </w:p>
    <w:p w14:paraId="1AE81D60" w14:textId="77777777" w:rsidR="00E718F3" w:rsidRDefault="00E718F3" w:rsidP="00E718F3">
      <w:pPr>
        <w:rPr>
          <w:rFonts w:ascii="Times New Roman" w:eastAsia="Times New Roman" w:hAnsi="Times New Roman" w:cs="Times New Roman"/>
          <w:color w:val="000000"/>
        </w:rPr>
      </w:pPr>
    </w:p>
    <w:p w14:paraId="55BB995B" w14:textId="77777777" w:rsidR="00E718F3" w:rsidRDefault="00E718F3" w:rsidP="00E718F3">
      <w:pPr>
        <w:jc w:val="both"/>
      </w:pPr>
      <w:r>
        <w:rPr>
          <w:b/>
          <w:color w:val="000000"/>
        </w:rPr>
        <w:t xml:space="preserve">Abstract: </w:t>
      </w:r>
      <w:r>
        <w:rPr>
          <w:color w:val="000000"/>
        </w:rPr>
        <w:t>The Sutton Hoo Longship was likely constructed between the late 6</w:t>
      </w:r>
      <w:r>
        <w:rPr>
          <w:color w:val="000000"/>
          <w:sz w:val="12"/>
          <w:szCs w:val="12"/>
          <w:vertAlign w:val="superscript"/>
        </w:rPr>
        <w:t>th</w:t>
      </w:r>
      <w:r>
        <w:rPr>
          <w:color w:val="000000"/>
        </w:rPr>
        <w:t xml:space="preserve"> century and the early 7</w:t>
      </w:r>
      <w:r>
        <w:rPr>
          <w:color w:val="000000"/>
          <w:sz w:val="12"/>
          <w:szCs w:val="12"/>
          <w:vertAlign w:val="superscript"/>
        </w:rPr>
        <w:t>th</w:t>
      </w:r>
      <w:r>
        <w:rPr>
          <w:color w:val="000000"/>
        </w:rPr>
        <w:t xml:space="preserve"> century. While researching tools used during this period </w:t>
      </w:r>
      <w:proofErr w:type="gramStart"/>
      <w:r>
        <w:rPr>
          <w:color w:val="000000"/>
        </w:rPr>
        <w:t>in order to</w:t>
      </w:r>
      <w:proofErr w:type="gramEnd"/>
      <w:r>
        <w:rPr>
          <w:color w:val="000000"/>
        </w:rPr>
        <w:t xml:space="preserve"> create replicas for use in the reconstruction of the ship, the felling or chopping axe was identified as a necessary tool. This paper summarises the research and archaeological evidence for Anglo-Saxon chopping axes. </w:t>
      </w:r>
      <w:r>
        <w:t>These axes would generally have been between 500-1000g in weight, with rounded or single-stepped lugs below the eye and either a symmetrically flared blade or a blade with a straight upper edge and flared lower edge. Head lengths are around 160-185mm with blade lengths ranging from 52 to 85mm resulting in length to blade ratios of 3:1 or 2:1. Axes of these forms would be good candidates for use in the reconstruction of the Sutton Hoo Longship.</w:t>
      </w:r>
    </w:p>
    <w:p w14:paraId="18F71BB7" w14:textId="77777777" w:rsidR="00E718F3" w:rsidRDefault="00E718F3" w:rsidP="00E718F3">
      <w:pPr>
        <w:rPr>
          <w:b/>
          <w:color w:val="000000"/>
        </w:rPr>
      </w:pPr>
    </w:p>
    <w:p w14:paraId="5AEF0549" w14:textId="77777777" w:rsidR="00E718F3" w:rsidRPr="001B5CE2" w:rsidRDefault="00E718F3" w:rsidP="00E718F3">
      <w:pPr>
        <w:rPr>
          <w:bCs/>
          <w:color w:val="000000"/>
        </w:rPr>
      </w:pPr>
      <w:r>
        <w:rPr>
          <w:b/>
          <w:color w:val="000000"/>
        </w:rPr>
        <w:t xml:space="preserve">Keywords: </w:t>
      </w:r>
      <w:r w:rsidRPr="001B5CE2">
        <w:rPr>
          <w:bCs/>
          <w:color w:val="000000"/>
        </w:rPr>
        <w:t>Axe, Woodworking, Shipbuilding, Anglo-Saxon, Merovingian</w:t>
      </w:r>
    </w:p>
    <w:p w14:paraId="1EAA9824" w14:textId="77777777" w:rsidR="00E718F3" w:rsidRDefault="00E718F3" w:rsidP="00E718F3">
      <w:pPr>
        <w:rPr>
          <w:b/>
          <w:color w:val="000000"/>
        </w:rPr>
      </w:pPr>
    </w:p>
    <w:p w14:paraId="119B4FA8" w14:textId="30134EE0" w:rsidR="00E718F3" w:rsidRDefault="00E718F3" w:rsidP="00E718F3">
      <w:pPr>
        <w:pStyle w:val="Heading1"/>
      </w:pPr>
      <w:r>
        <w:t xml:space="preserve"> Introduction</w:t>
      </w:r>
    </w:p>
    <w:p w14:paraId="0E4BAAD0" w14:textId="77777777" w:rsidR="00E718F3" w:rsidRDefault="00E718F3" w:rsidP="00E718F3">
      <w:pPr>
        <w:jc w:val="both"/>
        <w:rPr>
          <w:color w:val="000000"/>
        </w:rPr>
      </w:pPr>
      <w:r>
        <w:rPr>
          <w:color w:val="000000"/>
        </w:rPr>
        <w:t>The reconstruction of the ship found in Mound 1 at Sutton Hoo aims to use tools which were present or plausibly present during the construction of the original ship, probably somewhere between the late 6</w:t>
      </w:r>
      <w:r>
        <w:rPr>
          <w:color w:val="000000"/>
          <w:sz w:val="12"/>
          <w:szCs w:val="12"/>
          <w:vertAlign w:val="superscript"/>
        </w:rPr>
        <w:t>th</w:t>
      </w:r>
      <w:r>
        <w:rPr>
          <w:color w:val="000000"/>
        </w:rPr>
        <w:t xml:space="preserve"> century and the early 7</w:t>
      </w:r>
      <w:r>
        <w:rPr>
          <w:color w:val="000000"/>
          <w:sz w:val="12"/>
          <w:szCs w:val="12"/>
          <w:vertAlign w:val="superscript"/>
        </w:rPr>
        <w:t>th</w:t>
      </w:r>
      <w:r>
        <w:rPr>
          <w:color w:val="000000"/>
        </w:rPr>
        <w:t xml:space="preserve"> century (an estimation based on the ship’s burial date in the early 7</w:t>
      </w:r>
      <w:r>
        <w:rPr>
          <w:color w:val="000000"/>
          <w:sz w:val="12"/>
          <w:szCs w:val="12"/>
          <w:vertAlign w:val="superscript"/>
        </w:rPr>
        <w:t>th</w:t>
      </w:r>
      <w:r>
        <w:rPr>
          <w:color w:val="000000"/>
        </w:rPr>
        <w:t xml:space="preserve"> century (Bruce-Mitford, 1975), and the lifespan of reconstructed Viking ships (Sørensen and Rodevad Dael, 2020)). </w:t>
      </w:r>
    </w:p>
    <w:p w14:paraId="07E4ABAF" w14:textId="77777777" w:rsidR="00E718F3" w:rsidRDefault="00E718F3" w:rsidP="00E718F3">
      <w:pPr>
        <w:ind w:firstLine="720"/>
        <w:jc w:val="both"/>
        <w:rPr>
          <w:color w:val="000000"/>
        </w:rPr>
      </w:pPr>
      <w:r>
        <w:rPr>
          <w:color w:val="000000"/>
        </w:rPr>
        <w:t xml:space="preserve">Timbers used in the construction of clinker-built ships must be felled and roughed out before finishing. Tool marks and material evidence for large saws used in woodworking are non-existent in Early Anglo-Saxon archaeology (D. Goodburn 2019, pers. comm.). Therefore, Anglo-Saxon shipbuilders likely used axes for felling trees and roughing out timber ready for hewing and finishing. Felling or chopping axes of the period were a general-purpose tool, likely used not just for shipbuilding but, depending on the wielder, for a range of woodworking tasks including forest management, firewood processing, building timber structures and carving smaller wooden objects. The Bayeux Tapestry provides historical evidence for felling axes used specifically by Anglo-Norman shipwrights before hewing planks with T-shaped axes (Stenton, 1957).  </w:t>
      </w:r>
    </w:p>
    <w:p w14:paraId="6A9AFBF0" w14:textId="77777777" w:rsidR="00E718F3" w:rsidRDefault="00E718F3" w:rsidP="00E718F3">
      <w:pPr>
        <w:ind w:firstLine="720"/>
        <w:jc w:val="both"/>
      </w:pPr>
      <w:r>
        <w:t xml:space="preserve">The general shape of the felling or chopping axe appears little changed from the Roman Iron Age into the Early Medieval period. Indeed, many Anglo-Saxon axes identified as chopping axes are not dissimilar to some of those deposited with the ship at Nydam, Denmark in the Migration period (Engelhardt, 1866: pl. XV) (Fig. 1). </w:t>
      </w:r>
      <w:r>
        <w:rPr>
          <w:color w:val="000000"/>
        </w:rPr>
        <w:t>This paper summarises the evidence for different forms of Anglo-Saxon chopping axe and their use in Anglo-Saxon woodworking.</w:t>
      </w:r>
    </w:p>
    <w:p w14:paraId="56C01C33" w14:textId="77777777" w:rsidR="00E718F3" w:rsidRDefault="00E718F3" w:rsidP="00E718F3">
      <w:pPr>
        <w:jc w:val="center"/>
      </w:pPr>
      <w:r>
        <w:rPr>
          <w:noProof/>
        </w:rPr>
        <w:lastRenderedPageBreak/>
        <w:drawing>
          <wp:inline distT="0" distB="0" distL="0" distR="0" wp14:anchorId="2F43A539" wp14:editId="51264E94">
            <wp:extent cx="3082779" cy="3077309"/>
            <wp:effectExtent l="0" t="0" r="0" b="0"/>
            <wp:docPr id="7"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9"/>
                    <a:srcRect/>
                    <a:stretch>
                      <a:fillRect/>
                    </a:stretch>
                  </pic:blipFill>
                  <pic:spPr>
                    <a:xfrm>
                      <a:off x="0" y="0"/>
                      <a:ext cx="3082779" cy="3077309"/>
                    </a:xfrm>
                    <a:prstGeom prst="rect">
                      <a:avLst/>
                    </a:prstGeom>
                    <a:ln/>
                  </pic:spPr>
                </pic:pic>
              </a:graphicData>
            </a:graphic>
          </wp:inline>
        </w:drawing>
      </w:r>
    </w:p>
    <w:p w14:paraId="2306AD97" w14:textId="77777777" w:rsidR="00E718F3" w:rsidRDefault="00E718F3" w:rsidP="00E718F3">
      <w:pPr>
        <w:jc w:val="center"/>
        <w:rPr>
          <w:sz w:val="18"/>
          <w:szCs w:val="18"/>
        </w:rPr>
      </w:pPr>
      <w:r>
        <w:rPr>
          <w:sz w:val="18"/>
          <w:szCs w:val="18"/>
        </w:rPr>
        <w:t>Figure 1. Migration period axes and other woodworking tools found at Nydam (Engelhardt, 1866; pl. XV).</w:t>
      </w:r>
    </w:p>
    <w:p w14:paraId="523E4442" w14:textId="77777777" w:rsidR="00E718F3" w:rsidRDefault="00E718F3" w:rsidP="00E718F3">
      <w:pPr>
        <w:rPr>
          <w:b/>
        </w:rPr>
      </w:pPr>
    </w:p>
    <w:p w14:paraId="39CD7FFA" w14:textId="77777777" w:rsidR="00E718F3" w:rsidRDefault="00E718F3" w:rsidP="00E718F3">
      <w:pPr>
        <w:rPr>
          <w:b/>
        </w:rPr>
      </w:pPr>
    </w:p>
    <w:p w14:paraId="1BB37828" w14:textId="31B7C059" w:rsidR="00E718F3" w:rsidRDefault="00E718F3" w:rsidP="00E718F3">
      <w:pPr>
        <w:pStyle w:val="Heading1"/>
      </w:pPr>
      <w:r>
        <w:t>Anatomy of an axe</w:t>
      </w:r>
    </w:p>
    <w:p w14:paraId="4F15644E" w14:textId="77777777" w:rsidR="00E718F3" w:rsidRDefault="00E718F3" w:rsidP="00E718F3">
      <w:pPr>
        <w:rPr>
          <w:b/>
        </w:rPr>
      </w:pPr>
    </w:p>
    <w:p w14:paraId="02B5F302" w14:textId="77777777" w:rsidR="00E718F3" w:rsidRDefault="00E718F3" w:rsidP="00E718F3">
      <w:pPr>
        <w:rPr>
          <w:b/>
        </w:rPr>
      </w:pPr>
    </w:p>
    <w:p w14:paraId="19385212" w14:textId="77777777" w:rsidR="00E718F3" w:rsidRDefault="00E718F3" w:rsidP="00E718F3">
      <w:pPr>
        <w:jc w:val="center"/>
        <w:rPr>
          <w:b/>
        </w:rPr>
      </w:pPr>
      <w:r>
        <w:rPr>
          <w:b/>
          <w:noProof/>
        </w:rPr>
        <w:drawing>
          <wp:inline distT="0" distB="0" distL="0" distR="0" wp14:anchorId="45A1598F" wp14:editId="59F59BF6">
            <wp:extent cx="5727700" cy="2139315"/>
            <wp:effectExtent l="0" t="0" r="0" b="0"/>
            <wp:docPr id="12" name="Picture 12" descr="A picture containing text, arch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archer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2139315"/>
                    </a:xfrm>
                    <a:prstGeom prst="rect">
                      <a:avLst/>
                    </a:prstGeom>
                  </pic:spPr>
                </pic:pic>
              </a:graphicData>
            </a:graphic>
          </wp:inline>
        </w:drawing>
      </w:r>
    </w:p>
    <w:p w14:paraId="20B134D1" w14:textId="77777777" w:rsidR="00E718F3" w:rsidRDefault="00E718F3" w:rsidP="00E718F3">
      <w:pPr>
        <w:jc w:val="center"/>
        <w:rPr>
          <w:bCs/>
          <w:sz w:val="18"/>
          <w:szCs w:val="18"/>
        </w:rPr>
      </w:pPr>
      <w:r w:rsidRPr="00D64202">
        <w:rPr>
          <w:bCs/>
          <w:sz w:val="18"/>
          <w:szCs w:val="18"/>
        </w:rPr>
        <w:t>Figure 2. P</w:t>
      </w:r>
      <w:r>
        <w:rPr>
          <w:bCs/>
          <w:sz w:val="18"/>
          <w:szCs w:val="18"/>
        </w:rPr>
        <w:t>rofiles and terminology of Anglo-Saxon</w:t>
      </w:r>
      <w:r w:rsidRPr="00D64202">
        <w:rPr>
          <w:bCs/>
          <w:sz w:val="18"/>
          <w:szCs w:val="18"/>
        </w:rPr>
        <w:t xml:space="preserve"> </w:t>
      </w:r>
      <w:r>
        <w:rPr>
          <w:bCs/>
          <w:sz w:val="18"/>
          <w:szCs w:val="18"/>
        </w:rPr>
        <w:t xml:space="preserve">chopping </w:t>
      </w:r>
      <w:r w:rsidRPr="00D64202">
        <w:rPr>
          <w:bCs/>
          <w:sz w:val="18"/>
          <w:szCs w:val="18"/>
        </w:rPr>
        <w:t>axe type</w:t>
      </w:r>
      <w:r>
        <w:rPr>
          <w:bCs/>
          <w:sz w:val="18"/>
          <w:szCs w:val="18"/>
        </w:rPr>
        <w:t xml:space="preserve">s </w:t>
      </w:r>
      <w:r w:rsidRPr="00D64202">
        <w:rPr>
          <w:bCs/>
          <w:sz w:val="18"/>
          <w:szCs w:val="18"/>
        </w:rPr>
        <w:t>(except for the double-stepped lug, which is Merovingian in origin and occurs on</w:t>
      </w:r>
      <w:r>
        <w:rPr>
          <w:bCs/>
          <w:sz w:val="18"/>
          <w:szCs w:val="18"/>
        </w:rPr>
        <w:t xml:space="preserve"> some 6</w:t>
      </w:r>
      <w:r w:rsidRPr="00724CF7">
        <w:rPr>
          <w:bCs/>
          <w:sz w:val="18"/>
          <w:szCs w:val="18"/>
          <w:vertAlign w:val="superscript"/>
        </w:rPr>
        <w:t>th</w:t>
      </w:r>
      <w:r>
        <w:rPr>
          <w:bCs/>
          <w:sz w:val="18"/>
          <w:szCs w:val="18"/>
        </w:rPr>
        <w:t xml:space="preserve"> century Anglo-Saxon</w:t>
      </w:r>
      <w:r w:rsidRPr="00D64202">
        <w:rPr>
          <w:bCs/>
          <w:sz w:val="18"/>
          <w:szCs w:val="18"/>
        </w:rPr>
        <w:t xml:space="preserve"> </w:t>
      </w:r>
      <w:proofErr w:type="spellStart"/>
      <w:r w:rsidRPr="00D64202">
        <w:rPr>
          <w:bCs/>
          <w:sz w:val="18"/>
          <w:szCs w:val="18"/>
        </w:rPr>
        <w:t>franciscas</w:t>
      </w:r>
      <w:proofErr w:type="spellEnd"/>
      <w:r w:rsidRPr="00D64202">
        <w:rPr>
          <w:bCs/>
          <w:sz w:val="18"/>
          <w:szCs w:val="18"/>
        </w:rPr>
        <w:t xml:space="preserve"> and T-shaped war axes).</w:t>
      </w:r>
    </w:p>
    <w:p w14:paraId="4943E9DA" w14:textId="77777777" w:rsidR="00E718F3" w:rsidRDefault="00E718F3" w:rsidP="00E718F3">
      <w:pPr>
        <w:jc w:val="center"/>
        <w:rPr>
          <w:bCs/>
          <w:sz w:val="18"/>
          <w:szCs w:val="18"/>
        </w:rPr>
      </w:pPr>
    </w:p>
    <w:p w14:paraId="4D6F2550" w14:textId="77777777" w:rsidR="00E718F3" w:rsidRDefault="00E718F3" w:rsidP="00E718F3">
      <w:pPr>
        <w:jc w:val="center"/>
        <w:rPr>
          <w:bCs/>
          <w:sz w:val="18"/>
          <w:szCs w:val="18"/>
        </w:rPr>
      </w:pPr>
      <w:r>
        <w:rPr>
          <w:bCs/>
          <w:noProof/>
          <w:sz w:val="18"/>
          <w:szCs w:val="18"/>
        </w:rPr>
        <w:lastRenderedPageBreak/>
        <w:drawing>
          <wp:inline distT="0" distB="0" distL="0" distR="0" wp14:anchorId="3E6D247A" wp14:editId="7C1D3CAD">
            <wp:extent cx="4521200" cy="29591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21200" cy="2959100"/>
                    </a:xfrm>
                    <a:prstGeom prst="rect">
                      <a:avLst/>
                    </a:prstGeom>
                  </pic:spPr>
                </pic:pic>
              </a:graphicData>
            </a:graphic>
          </wp:inline>
        </w:drawing>
      </w:r>
    </w:p>
    <w:p w14:paraId="3BF75517" w14:textId="77777777" w:rsidR="00E718F3" w:rsidRDefault="00E718F3" w:rsidP="00E718F3">
      <w:pPr>
        <w:jc w:val="center"/>
        <w:rPr>
          <w:bCs/>
          <w:sz w:val="18"/>
          <w:szCs w:val="18"/>
        </w:rPr>
      </w:pPr>
      <w:r>
        <w:rPr>
          <w:bCs/>
          <w:sz w:val="18"/>
          <w:szCs w:val="18"/>
        </w:rPr>
        <w:t>Figure 3. ‘Wrap-around’ method of forging an axe eye, where the iron is wrapped around the drift to form the eye and forge-welded together, forming the characteristic forge weld line and crease just in front of the eye.</w:t>
      </w:r>
    </w:p>
    <w:p w14:paraId="1A8823D5" w14:textId="77777777" w:rsidR="00E718F3" w:rsidRDefault="00E718F3" w:rsidP="00E718F3">
      <w:pPr>
        <w:jc w:val="center"/>
        <w:rPr>
          <w:bCs/>
          <w:sz w:val="18"/>
          <w:szCs w:val="18"/>
        </w:rPr>
      </w:pPr>
    </w:p>
    <w:p w14:paraId="73D35900" w14:textId="77777777" w:rsidR="00E718F3" w:rsidRDefault="00E718F3" w:rsidP="00E718F3">
      <w:pPr>
        <w:jc w:val="center"/>
        <w:rPr>
          <w:bCs/>
          <w:sz w:val="18"/>
          <w:szCs w:val="18"/>
        </w:rPr>
      </w:pPr>
    </w:p>
    <w:p w14:paraId="0E0A3ECD" w14:textId="77777777" w:rsidR="00E718F3" w:rsidRDefault="00E718F3" w:rsidP="00E718F3">
      <w:pPr>
        <w:jc w:val="center"/>
        <w:rPr>
          <w:bCs/>
          <w:sz w:val="18"/>
          <w:szCs w:val="18"/>
        </w:rPr>
      </w:pPr>
    </w:p>
    <w:p w14:paraId="3A18043B" w14:textId="77777777" w:rsidR="00E718F3" w:rsidRDefault="00E718F3" w:rsidP="00E718F3">
      <w:pPr>
        <w:jc w:val="center"/>
        <w:rPr>
          <w:bCs/>
          <w:sz w:val="18"/>
          <w:szCs w:val="18"/>
        </w:rPr>
      </w:pPr>
      <w:r>
        <w:rPr>
          <w:bCs/>
          <w:noProof/>
          <w:sz w:val="18"/>
          <w:szCs w:val="18"/>
        </w:rPr>
        <w:drawing>
          <wp:inline distT="0" distB="0" distL="0" distR="0" wp14:anchorId="08ADA952" wp14:editId="094554A2">
            <wp:extent cx="4025900" cy="29591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025900" cy="2959100"/>
                    </a:xfrm>
                    <a:prstGeom prst="rect">
                      <a:avLst/>
                    </a:prstGeom>
                  </pic:spPr>
                </pic:pic>
              </a:graphicData>
            </a:graphic>
          </wp:inline>
        </w:drawing>
      </w:r>
    </w:p>
    <w:p w14:paraId="46672965" w14:textId="77777777" w:rsidR="00E718F3" w:rsidRDefault="00E718F3" w:rsidP="00E718F3">
      <w:pPr>
        <w:jc w:val="center"/>
        <w:rPr>
          <w:bCs/>
          <w:sz w:val="18"/>
          <w:szCs w:val="18"/>
        </w:rPr>
      </w:pPr>
      <w:r>
        <w:rPr>
          <w:bCs/>
          <w:sz w:val="18"/>
          <w:szCs w:val="18"/>
        </w:rPr>
        <w:t>Figure 4. ‘Drifted’ method of forging an axe eye, where the drifted is punched through the iron to form the eye.</w:t>
      </w:r>
    </w:p>
    <w:p w14:paraId="7EABD8FC" w14:textId="77777777" w:rsidR="00E718F3" w:rsidRDefault="00E718F3" w:rsidP="00E718F3">
      <w:pPr>
        <w:jc w:val="center"/>
        <w:rPr>
          <w:bCs/>
          <w:sz w:val="18"/>
          <w:szCs w:val="18"/>
        </w:rPr>
      </w:pPr>
    </w:p>
    <w:p w14:paraId="21B03ED3" w14:textId="77777777" w:rsidR="00E718F3" w:rsidRDefault="00E718F3" w:rsidP="00E718F3">
      <w:pPr>
        <w:jc w:val="center"/>
        <w:rPr>
          <w:bCs/>
          <w:sz w:val="18"/>
          <w:szCs w:val="18"/>
        </w:rPr>
      </w:pPr>
      <w:r>
        <w:rPr>
          <w:bCs/>
          <w:noProof/>
          <w:sz w:val="18"/>
          <w:szCs w:val="18"/>
        </w:rPr>
        <w:lastRenderedPageBreak/>
        <w:drawing>
          <wp:inline distT="0" distB="0" distL="0" distR="0" wp14:anchorId="43CC73EA" wp14:editId="1587A02B">
            <wp:extent cx="4051300" cy="18415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51300" cy="1841500"/>
                    </a:xfrm>
                    <a:prstGeom prst="rect">
                      <a:avLst/>
                    </a:prstGeom>
                  </pic:spPr>
                </pic:pic>
              </a:graphicData>
            </a:graphic>
          </wp:inline>
        </w:drawing>
      </w:r>
    </w:p>
    <w:p w14:paraId="0166E120" w14:textId="77777777" w:rsidR="00E718F3" w:rsidRPr="00D64202" w:rsidRDefault="00E718F3" w:rsidP="00E718F3">
      <w:pPr>
        <w:jc w:val="center"/>
        <w:rPr>
          <w:bCs/>
          <w:sz w:val="18"/>
          <w:szCs w:val="18"/>
        </w:rPr>
      </w:pPr>
      <w:r>
        <w:rPr>
          <w:bCs/>
          <w:sz w:val="18"/>
          <w:szCs w:val="18"/>
        </w:rPr>
        <w:t>Figure 5. Methods of hafting an axe head. Top wedged: Head fitted from the top of haft and is held in place with a wedge. Self-wedging: Head fitted from the bottom of haft and wedges itself as the haft widens near the top.</w:t>
      </w:r>
    </w:p>
    <w:p w14:paraId="62D72C24" w14:textId="77777777" w:rsidR="00E718F3" w:rsidRDefault="00E718F3" w:rsidP="00E718F3">
      <w:pPr>
        <w:rPr>
          <w:b/>
        </w:rPr>
      </w:pPr>
    </w:p>
    <w:p w14:paraId="73C53EA9" w14:textId="77777777" w:rsidR="00E718F3" w:rsidRDefault="00E718F3" w:rsidP="00E718F3">
      <w:pPr>
        <w:rPr>
          <w:b/>
        </w:rPr>
      </w:pPr>
    </w:p>
    <w:p w14:paraId="7101E00A" w14:textId="659A2953" w:rsidR="00E718F3" w:rsidRDefault="00E718F3" w:rsidP="00E718F3">
      <w:pPr>
        <w:pStyle w:val="Heading1"/>
      </w:pPr>
      <w:r w:rsidRPr="00E718F3">
        <w:t>Archaeological</w:t>
      </w:r>
      <w:r>
        <w:t xml:space="preserve"> evidence</w:t>
      </w:r>
    </w:p>
    <w:p w14:paraId="6FFCC934" w14:textId="77777777" w:rsidR="00E718F3" w:rsidRDefault="00E718F3" w:rsidP="00E718F3">
      <w:pPr>
        <w:rPr>
          <w:b/>
        </w:rPr>
      </w:pPr>
    </w:p>
    <w:p w14:paraId="4FBFCD8B" w14:textId="60B9146E" w:rsidR="00E718F3" w:rsidRDefault="00E718F3" w:rsidP="00E718F3">
      <w:pPr>
        <w:pStyle w:val="Heading2"/>
        <w:rPr>
          <w:sz w:val="18"/>
          <w:szCs w:val="18"/>
        </w:rPr>
      </w:pPr>
      <w:r>
        <w:t>Anglo-Saxon felling and chopping axes</w:t>
      </w:r>
    </w:p>
    <w:p w14:paraId="0C3D3EDE" w14:textId="77777777" w:rsidR="00E718F3" w:rsidRDefault="00E718F3" w:rsidP="00E718F3">
      <w:pPr>
        <w:jc w:val="both"/>
      </w:pPr>
      <w:r>
        <w:t xml:space="preserve">The best-documented Anglo-Saxon woodworking axes come from the excavations at </w:t>
      </w:r>
      <w:proofErr w:type="spellStart"/>
      <w:r>
        <w:t>Flixborough</w:t>
      </w:r>
      <w:proofErr w:type="spellEnd"/>
      <w:r>
        <w:t>, Lincolnshire. Along with several T-shaped finishing axes, two of the more ‘traditional’ shape were found. The first was found within a settlement, stratigraphically dated late 7</w:t>
      </w:r>
      <w:r>
        <w:rPr>
          <w:vertAlign w:val="superscript"/>
        </w:rPr>
        <w:t>th</w:t>
      </w:r>
      <w:r>
        <w:t xml:space="preserve"> to early 8</w:t>
      </w:r>
      <w:r>
        <w:rPr>
          <w:vertAlign w:val="superscript"/>
        </w:rPr>
        <w:t>th</w:t>
      </w:r>
      <w:r>
        <w:t xml:space="preserve"> century (Evans and </w:t>
      </w:r>
      <w:proofErr w:type="spellStart"/>
      <w:r>
        <w:t>Loveluck</w:t>
      </w:r>
      <w:proofErr w:type="spellEnd"/>
      <w:r>
        <w:t xml:space="preserve"> 2009: 253-255, fig. 7.1) (Fig. 6). Its eye appears to have been forged with a ‘wrap-around’ technique (Fig. 3). The socket is 43mm wide and is pinched at the base, suggesting a self-wedging haft like that of the Nydam axe haft (Engelhardt, 1866: pl. XV, no. 10) (Figs. 1, 5). Traces of wood were found in the eye, likely of beech (</w:t>
      </w:r>
      <w:r>
        <w:rPr>
          <w:i/>
        </w:rPr>
        <w:t xml:space="preserve">Fagus </w:t>
      </w:r>
      <w:r>
        <w:t>s</w:t>
      </w:r>
      <w:r>
        <w:rPr>
          <w:i/>
        </w:rPr>
        <w:t>ylvatica</w:t>
      </w:r>
      <w:r>
        <w:t>). Ash (</w:t>
      </w:r>
      <w:r>
        <w:rPr>
          <w:i/>
        </w:rPr>
        <w:t>Fraxinus excelsior</w:t>
      </w:r>
      <w:r>
        <w:t xml:space="preserve">) may also have been used as another species well-suited for tool handles. The length of the axe is 160mm with a blade length of 85mm; a </w:t>
      </w:r>
      <w:r>
        <w:rPr>
          <w:i/>
        </w:rPr>
        <w:t>ca.</w:t>
      </w:r>
      <w:r>
        <w:t xml:space="preserve"> 2:1 ratio common in Anglo-Saxon axes (Evans and </w:t>
      </w:r>
      <w:proofErr w:type="spellStart"/>
      <w:r>
        <w:t>Loveluck</w:t>
      </w:r>
      <w:proofErr w:type="spellEnd"/>
      <w:r>
        <w:t xml:space="preserve"> 2009: 253). </w:t>
      </w:r>
    </w:p>
    <w:p w14:paraId="24A1774F" w14:textId="77777777" w:rsidR="00E718F3" w:rsidRDefault="00E718F3" w:rsidP="00E718F3">
      <w:pPr>
        <w:jc w:val="both"/>
        <w:rPr>
          <w:rFonts w:asciiTheme="minorHAnsi" w:hAnsiTheme="minorHAnsi" w:cstheme="minorHAnsi"/>
        </w:rPr>
      </w:pPr>
      <w:r>
        <w:t>The size, flared blade and (albeit crudely) stepped lower lug are reminiscent of the 7</w:t>
      </w:r>
      <w:r>
        <w:rPr>
          <w:vertAlign w:val="superscript"/>
        </w:rPr>
        <w:t>th</w:t>
      </w:r>
      <w:r>
        <w:t xml:space="preserve"> century Merovingian war or ceremonial axe from the </w:t>
      </w:r>
      <w:proofErr w:type="spellStart"/>
      <w:r>
        <w:t>Neuweider</w:t>
      </w:r>
      <w:proofErr w:type="spellEnd"/>
      <w:r>
        <w:t xml:space="preserve">-Becken area, Germany (Marzinzik, 2013). Despite their similarity and </w:t>
      </w:r>
      <w:r w:rsidRPr="004378B2">
        <w:rPr>
          <w:rFonts w:asciiTheme="minorHAnsi" w:hAnsiTheme="minorHAnsi" w:cstheme="minorHAnsi"/>
        </w:rPr>
        <w:t xml:space="preserve">rough contemporaneity, these axes likely had very different purposes; the </w:t>
      </w:r>
      <w:proofErr w:type="spellStart"/>
      <w:r w:rsidRPr="004378B2">
        <w:rPr>
          <w:rFonts w:asciiTheme="minorHAnsi" w:hAnsiTheme="minorHAnsi" w:cstheme="minorHAnsi"/>
        </w:rPr>
        <w:t>Neuweider</w:t>
      </w:r>
      <w:proofErr w:type="spellEnd"/>
      <w:r w:rsidRPr="004378B2">
        <w:rPr>
          <w:rFonts w:asciiTheme="minorHAnsi" w:hAnsiTheme="minorHAnsi" w:cstheme="minorHAnsi"/>
        </w:rPr>
        <w:t xml:space="preserve">-Becken axe being lavishly decorated with inlaid silver wire. The more refined (and more obviously intentional) double stepped </w:t>
      </w:r>
      <w:r>
        <w:rPr>
          <w:rFonts w:asciiTheme="minorHAnsi" w:hAnsiTheme="minorHAnsi" w:cstheme="minorHAnsi"/>
        </w:rPr>
        <w:t>lugs</w:t>
      </w:r>
      <w:r w:rsidRPr="004378B2">
        <w:rPr>
          <w:rFonts w:asciiTheme="minorHAnsi" w:hAnsiTheme="minorHAnsi" w:cstheme="minorHAnsi"/>
        </w:rPr>
        <w:t xml:space="preserve"> of the </w:t>
      </w:r>
      <w:proofErr w:type="spellStart"/>
      <w:r w:rsidRPr="004378B2">
        <w:rPr>
          <w:rFonts w:asciiTheme="minorHAnsi" w:hAnsiTheme="minorHAnsi" w:cstheme="minorHAnsi"/>
        </w:rPr>
        <w:t>Neuweider</w:t>
      </w:r>
      <w:proofErr w:type="spellEnd"/>
      <w:r w:rsidRPr="004378B2">
        <w:rPr>
          <w:rFonts w:asciiTheme="minorHAnsi" w:hAnsiTheme="minorHAnsi" w:cstheme="minorHAnsi"/>
        </w:rPr>
        <w:t>-Becken axe</w:t>
      </w:r>
      <w:r>
        <w:rPr>
          <w:rFonts w:asciiTheme="minorHAnsi" w:hAnsiTheme="minorHAnsi" w:cstheme="minorHAnsi"/>
        </w:rPr>
        <w:t xml:space="preserve"> (Fig. 2)</w:t>
      </w:r>
      <w:r w:rsidRPr="004378B2">
        <w:rPr>
          <w:rFonts w:asciiTheme="minorHAnsi" w:hAnsiTheme="minorHAnsi" w:cstheme="minorHAnsi"/>
        </w:rPr>
        <w:t xml:space="preserve"> is evidently a tradition borrowed from the </w:t>
      </w:r>
      <w:proofErr w:type="spellStart"/>
      <w:r w:rsidRPr="004378B2">
        <w:rPr>
          <w:rFonts w:asciiTheme="minorHAnsi" w:hAnsiTheme="minorHAnsi" w:cstheme="minorHAnsi"/>
        </w:rPr>
        <w:t>francisca</w:t>
      </w:r>
      <w:proofErr w:type="spellEnd"/>
      <w:r w:rsidRPr="004378B2">
        <w:rPr>
          <w:rFonts w:asciiTheme="minorHAnsi" w:hAnsiTheme="minorHAnsi" w:cstheme="minorHAnsi"/>
        </w:rPr>
        <w:t>; a style of war axe of Merovingian origin, but also common in 6th century Anglo-Saxon weapon burials across Southern England</w:t>
      </w:r>
      <w:r>
        <w:rPr>
          <w:rFonts w:asciiTheme="minorHAnsi" w:hAnsiTheme="minorHAnsi" w:cstheme="minorHAnsi"/>
        </w:rPr>
        <w:t>, including Mound 3 at Sutton Hoo</w:t>
      </w:r>
      <w:r w:rsidRPr="004378B2">
        <w:rPr>
          <w:rFonts w:asciiTheme="minorHAnsi" w:hAnsiTheme="minorHAnsi" w:cstheme="minorHAnsi"/>
        </w:rPr>
        <w:t xml:space="preserve"> (Bruce-Mitford, 1975: 126).  </w:t>
      </w:r>
    </w:p>
    <w:p w14:paraId="616ACF10" w14:textId="77777777" w:rsidR="00E718F3" w:rsidRDefault="00E718F3" w:rsidP="00E718F3">
      <w:pPr>
        <w:ind w:firstLine="720"/>
        <w:jc w:val="both"/>
      </w:pPr>
      <w:r w:rsidRPr="004378B2">
        <w:rPr>
          <w:rFonts w:asciiTheme="minorHAnsi" w:hAnsiTheme="minorHAnsi" w:cstheme="minorHAnsi"/>
        </w:rPr>
        <w:t>Axes with symmetrically flared blades are depicted in the Bayeux tapestry, used by</w:t>
      </w:r>
      <w:r>
        <w:t xml:space="preserve"> foresters to fell trees specifically for shipbuilding (Stenton, 1957). Flared axe blades are also found in 6</w:t>
      </w:r>
      <w:r>
        <w:rPr>
          <w:vertAlign w:val="superscript"/>
        </w:rPr>
        <w:t>th</w:t>
      </w:r>
      <w:r>
        <w:t xml:space="preserve"> century Anglo-Saxon burials (Hirst and Clark, 2009; Hollingworth and O’Reilly, 1925), but these have a flared poll common in continental Merovingian war axes. The similarities between war and wood-working axes during the period highlights the importance of caution and attention to detail when interpreting axe finds as weapons or tools in all but the most obvious cases. Parallels for this flared blade can also be found in Scandinavia, especially the two axes found with the Oseberg ship buried in the 9</w:t>
      </w:r>
      <w:r>
        <w:rPr>
          <w:vertAlign w:val="superscript"/>
        </w:rPr>
        <w:t>th</w:t>
      </w:r>
      <w:r>
        <w:t xml:space="preserve"> century (Christensen, 2008: fig. 3). With one head weighing </w:t>
      </w:r>
      <w:r>
        <w:rPr>
          <w:i/>
        </w:rPr>
        <w:t>ca.</w:t>
      </w:r>
      <w:r>
        <w:t xml:space="preserve"> 1000g, these are also interpreted as felling axes and their intact hafts give a rare indication of handle lengths during the period; measuring 715mm and 785mm in length (V. </w:t>
      </w:r>
      <w:proofErr w:type="spellStart"/>
      <w:r>
        <w:t>Vike</w:t>
      </w:r>
      <w:proofErr w:type="spellEnd"/>
      <w:r>
        <w:t xml:space="preserve"> 2021, </w:t>
      </w:r>
      <w:proofErr w:type="spellStart"/>
      <w:r>
        <w:t>pers.comm</w:t>
      </w:r>
      <w:proofErr w:type="spellEnd"/>
      <w:r>
        <w:t xml:space="preserve">.). Like the </w:t>
      </w:r>
      <w:proofErr w:type="spellStart"/>
      <w:r>
        <w:t>Flixborough</w:t>
      </w:r>
      <w:proofErr w:type="spellEnd"/>
      <w:r>
        <w:t xml:space="preserve"> axe, these hafts were self-wedging (Fig. 5).</w:t>
      </w:r>
    </w:p>
    <w:p w14:paraId="59968FF2" w14:textId="77777777" w:rsidR="00E718F3" w:rsidRDefault="00E718F3" w:rsidP="00E718F3"/>
    <w:p w14:paraId="001D2FC7" w14:textId="77777777" w:rsidR="00E718F3" w:rsidRDefault="00E718F3" w:rsidP="00E718F3">
      <w:pPr>
        <w:jc w:val="center"/>
      </w:pPr>
      <w:r>
        <w:rPr>
          <w:noProof/>
        </w:rPr>
        <w:lastRenderedPageBreak/>
        <w:drawing>
          <wp:inline distT="0" distB="0" distL="0" distR="0" wp14:anchorId="0F184207" wp14:editId="30A9C70F">
            <wp:extent cx="4372489" cy="2805277"/>
            <wp:effectExtent l="0" t="0" r="0" b="0"/>
            <wp:docPr id="9"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14"/>
                    <a:srcRect/>
                    <a:stretch>
                      <a:fillRect/>
                    </a:stretch>
                  </pic:blipFill>
                  <pic:spPr>
                    <a:xfrm>
                      <a:off x="0" y="0"/>
                      <a:ext cx="4372489" cy="2805277"/>
                    </a:xfrm>
                    <a:prstGeom prst="rect">
                      <a:avLst/>
                    </a:prstGeom>
                    <a:ln/>
                  </pic:spPr>
                </pic:pic>
              </a:graphicData>
            </a:graphic>
          </wp:inline>
        </w:drawing>
      </w:r>
    </w:p>
    <w:p w14:paraId="7ABE983E" w14:textId="77777777" w:rsidR="00E718F3" w:rsidRDefault="00E718F3" w:rsidP="00E718F3">
      <w:pPr>
        <w:jc w:val="center"/>
        <w:rPr>
          <w:sz w:val="18"/>
          <w:szCs w:val="18"/>
        </w:rPr>
      </w:pPr>
      <w:r>
        <w:rPr>
          <w:sz w:val="18"/>
          <w:szCs w:val="18"/>
        </w:rPr>
        <w:t>Figure 6. Late 7</w:t>
      </w:r>
      <w:r>
        <w:rPr>
          <w:sz w:val="18"/>
          <w:szCs w:val="18"/>
          <w:vertAlign w:val="superscript"/>
        </w:rPr>
        <w:t>th</w:t>
      </w:r>
      <w:r>
        <w:rPr>
          <w:sz w:val="18"/>
          <w:szCs w:val="18"/>
        </w:rPr>
        <w:t xml:space="preserve"> to early 8</w:t>
      </w:r>
      <w:r>
        <w:rPr>
          <w:sz w:val="18"/>
          <w:szCs w:val="18"/>
          <w:vertAlign w:val="superscript"/>
        </w:rPr>
        <w:t>th</w:t>
      </w:r>
      <w:r>
        <w:rPr>
          <w:sz w:val="18"/>
          <w:szCs w:val="18"/>
        </w:rPr>
        <w:t xml:space="preserve"> century Anglo-Saxon chopping axe from </w:t>
      </w:r>
      <w:proofErr w:type="spellStart"/>
      <w:r>
        <w:rPr>
          <w:sz w:val="18"/>
          <w:szCs w:val="18"/>
        </w:rPr>
        <w:t>Flixborough</w:t>
      </w:r>
      <w:proofErr w:type="spellEnd"/>
      <w:r>
        <w:rPr>
          <w:sz w:val="18"/>
          <w:szCs w:val="18"/>
        </w:rPr>
        <w:t>, Lincolnshire.</w:t>
      </w:r>
    </w:p>
    <w:p w14:paraId="7CE37024" w14:textId="77777777" w:rsidR="00E718F3" w:rsidRDefault="00E718F3" w:rsidP="00E718F3">
      <w:pPr>
        <w:jc w:val="center"/>
      </w:pPr>
    </w:p>
    <w:p w14:paraId="3C5219C7" w14:textId="77777777" w:rsidR="00E718F3" w:rsidRDefault="00E718F3" w:rsidP="00E718F3">
      <w:pPr>
        <w:jc w:val="both"/>
      </w:pPr>
      <w:r>
        <w:t xml:space="preserve">The second axe from </w:t>
      </w:r>
      <w:proofErr w:type="spellStart"/>
      <w:r>
        <w:t>Flixborough</w:t>
      </w:r>
      <w:proofErr w:type="spellEnd"/>
      <w:r>
        <w:t xml:space="preserve"> was found in a hoard with the T-shaped axes, generally dated to the Middle or Late Anglo-Saxon period (Evans and </w:t>
      </w:r>
      <w:proofErr w:type="spellStart"/>
      <w:r>
        <w:t>Loveluck</w:t>
      </w:r>
      <w:proofErr w:type="spellEnd"/>
      <w:r>
        <w:t xml:space="preserve"> 2009: 256, fig. 7.5) (Fig. 7). At first glance, this appears to be a narrow but robust felling axe, with a wedge-shaped cross-section and a drifted eye (Fig. 4) (as opposed to a ‘wrap-around’ eye). However, this axe is asymmetric; one face runs parallel to the eye whereas the other slants to meet it. In other words, this axe is ‘sided’, with one flat working side capable of producing a flat, smooth finish on timber in a similar way to the </w:t>
      </w:r>
      <w:proofErr w:type="spellStart"/>
      <w:r>
        <w:t>Flixborough</w:t>
      </w:r>
      <w:proofErr w:type="spellEnd"/>
      <w:r>
        <w:t xml:space="preserve"> T-shaped axes. With a length of 185mm and blade length of 57mm, its ratio is </w:t>
      </w:r>
      <w:r>
        <w:rPr>
          <w:i/>
        </w:rPr>
        <w:t>ca.</w:t>
      </w:r>
      <w:r>
        <w:t xml:space="preserve"> 3:1. The relatively narrow blade may indicate suitable use as a ‘chisel axe’ for cutting mortises in timber or even shaping the rabbet of a T-shaped keel, such as that in the Sutton Hoo ship. The ‘mushroomed’ poll indicates use with a hammer, which supports this interpretation.</w:t>
      </w:r>
    </w:p>
    <w:p w14:paraId="34B3B525" w14:textId="77777777" w:rsidR="00E718F3" w:rsidRDefault="00E718F3" w:rsidP="00E718F3"/>
    <w:p w14:paraId="6D391BB7" w14:textId="77777777" w:rsidR="00E718F3" w:rsidRDefault="00E718F3" w:rsidP="00E718F3">
      <w:pPr>
        <w:jc w:val="center"/>
      </w:pPr>
      <w:r>
        <w:rPr>
          <w:noProof/>
        </w:rPr>
        <w:drawing>
          <wp:inline distT="0" distB="0" distL="0" distR="0" wp14:anchorId="7C464CFB" wp14:editId="300444C7">
            <wp:extent cx="4936436" cy="2746729"/>
            <wp:effectExtent l="0" t="0" r="0" b="0"/>
            <wp:docPr id="8"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15"/>
                    <a:srcRect b="8414"/>
                    <a:stretch>
                      <a:fillRect/>
                    </a:stretch>
                  </pic:blipFill>
                  <pic:spPr>
                    <a:xfrm>
                      <a:off x="0" y="0"/>
                      <a:ext cx="4936436" cy="2746729"/>
                    </a:xfrm>
                    <a:prstGeom prst="rect">
                      <a:avLst/>
                    </a:prstGeom>
                    <a:ln/>
                  </pic:spPr>
                </pic:pic>
              </a:graphicData>
            </a:graphic>
          </wp:inline>
        </w:drawing>
      </w:r>
    </w:p>
    <w:p w14:paraId="42E91C10" w14:textId="77777777" w:rsidR="00E718F3" w:rsidRDefault="00E718F3" w:rsidP="00E718F3">
      <w:pPr>
        <w:jc w:val="center"/>
        <w:rPr>
          <w:sz w:val="18"/>
          <w:szCs w:val="18"/>
        </w:rPr>
      </w:pPr>
      <w:r>
        <w:rPr>
          <w:sz w:val="18"/>
          <w:szCs w:val="18"/>
        </w:rPr>
        <w:t xml:space="preserve">Figure 7. Middle to Late Anglo-Saxon ‘sided’ axe from </w:t>
      </w:r>
      <w:proofErr w:type="spellStart"/>
      <w:r>
        <w:rPr>
          <w:sz w:val="18"/>
          <w:szCs w:val="18"/>
        </w:rPr>
        <w:t>Flixborough</w:t>
      </w:r>
      <w:proofErr w:type="spellEnd"/>
      <w:r>
        <w:rPr>
          <w:sz w:val="18"/>
          <w:szCs w:val="18"/>
        </w:rPr>
        <w:t>, Lincolnshire.</w:t>
      </w:r>
    </w:p>
    <w:p w14:paraId="03E670E7" w14:textId="77777777" w:rsidR="00E718F3" w:rsidRDefault="00E718F3" w:rsidP="00E718F3">
      <w:pPr>
        <w:jc w:val="center"/>
      </w:pPr>
    </w:p>
    <w:p w14:paraId="3A85EE4A" w14:textId="77777777" w:rsidR="00E718F3" w:rsidRDefault="00E718F3" w:rsidP="00E718F3">
      <w:pPr>
        <w:jc w:val="both"/>
      </w:pPr>
      <w:r>
        <w:t>Other Anglo-Saxon axes interpreted as felling or chopping axes include that from the 9</w:t>
      </w:r>
      <w:r>
        <w:rPr>
          <w:vertAlign w:val="superscript"/>
        </w:rPr>
        <w:t>th</w:t>
      </w:r>
      <w:r>
        <w:t>-10</w:t>
      </w:r>
      <w:r>
        <w:rPr>
          <w:vertAlign w:val="superscript"/>
        </w:rPr>
        <w:t>th</w:t>
      </w:r>
      <w:r>
        <w:t xml:space="preserve"> century </w:t>
      </w:r>
      <w:proofErr w:type="spellStart"/>
      <w:r>
        <w:t>Hurbuck</w:t>
      </w:r>
      <w:proofErr w:type="spellEnd"/>
      <w:r>
        <w:t xml:space="preserve"> hoard (Hodges, 1905), and two listed under ‘axe’ or ‘</w:t>
      </w:r>
      <w:proofErr w:type="spellStart"/>
      <w:r>
        <w:t>axehead</w:t>
      </w:r>
      <w:proofErr w:type="spellEnd"/>
      <w:r>
        <w:t xml:space="preserve">’ in the Portable Antiquities Scheme (PAS) database, </w:t>
      </w:r>
      <w:r>
        <w:lastRenderedPageBreak/>
        <w:t xml:space="preserve">from Winteringham, North Lincolnshire and dated to the Early Medieval period. The </w:t>
      </w:r>
      <w:proofErr w:type="spellStart"/>
      <w:r>
        <w:t>Hurbuck</w:t>
      </w:r>
      <w:proofErr w:type="spellEnd"/>
      <w:r>
        <w:t xml:space="preserve"> axe has a narrow, symmetrically flared blade, with an apparent length to blade ratio of 3:1 while the two PAS axes have a straight upper edge and flared lower edge (Fig. 2) and a ‘wrap-around’ eye (Fig. 3). Both the PAS axes weigh </w:t>
      </w:r>
      <w:r>
        <w:rPr>
          <w:i/>
        </w:rPr>
        <w:t>ca.</w:t>
      </w:r>
      <w:r>
        <w:t xml:space="preserve"> 500g. They are 165mm and 182mm long with blade lengths of 56mm and 52mm respectively, resulting in a narrow blade with a ratio of 3:1 </w:t>
      </w:r>
      <w:proofErr w:type="gramStart"/>
      <w:r>
        <w:t>similar to</w:t>
      </w:r>
      <w:proofErr w:type="gramEnd"/>
      <w:r>
        <w:t xml:space="preserve"> the </w:t>
      </w:r>
      <w:proofErr w:type="spellStart"/>
      <w:r>
        <w:t>Flixborough</w:t>
      </w:r>
      <w:proofErr w:type="spellEnd"/>
      <w:r>
        <w:t xml:space="preserve"> hoard axe. However, these axes appear to be symmetrical in cross-section. These axes resemble the hafted axe from Nydam (Engelhardt, 1866: pl. XV, no. 10) </w:t>
      </w:r>
      <w:proofErr w:type="gramStart"/>
      <w:r>
        <w:t>with the exception of</w:t>
      </w:r>
      <w:proofErr w:type="gramEnd"/>
      <w:r>
        <w:t xml:space="preserve"> more rounded single lugs. This is a form known as Type I in Wheeler’s original typology (Wheeler, 1927), based on Early Medieval finds from the river Thames and applied to both tool and war axes.</w:t>
      </w:r>
    </w:p>
    <w:p w14:paraId="3F135257" w14:textId="77777777" w:rsidR="00E718F3" w:rsidRDefault="00E718F3" w:rsidP="00E718F3"/>
    <w:p w14:paraId="634ABC0E" w14:textId="58E5ACAD" w:rsidR="00E718F3" w:rsidRDefault="00E718F3" w:rsidP="00E718F3">
      <w:pPr>
        <w:pStyle w:val="Heading2"/>
      </w:pPr>
      <w:r>
        <w:t>The evidence for bearded axes</w:t>
      </w:r>
    </w:p>
    <w:p w14:paraId="451D46DE" w14:textId="77777777" w:rsidR="00E718F3" w:rsidRDefault="00E718F3" w:rsidP="00E718F3">
      <w:pPr>
        <w:jc w:val="both"/>
      </w:pPr>
      <w:r>
        <w:t xml:space="preserve">There appears to be little evidence for bearded axes in Early Anglo-Saxon England. However, bearded axes have been found in contemporary Merovingian and </w:t>
      </w:r>
      <w:proofErr w:type="spellStart"/>
      <w:r>
        <w:t>Suebian</w:t>
      </w:r>
      <w:proofErr w:type="spellEnd"/>
      <w:r>
        <w:t xml:space="preserve"> contexts (respectively Cologne and Heidelberg, Germany). </w:t>
      </w:r>
    </w:p>
    <w:p w14:paraId="0F348E10" w14:textId="77777777" w:rsidR="00E718F3" w:rsidRDefault="00E718F3" w:rsidP="00E718F3">
      <w:pPr>
        <w:ind w:firstLine="720"/>
        <w:jc w:val="both"/>
      </w:pPr>
      <w:r>
        <w:t xml:space="preserve">Bearded axes were also present in the Vendel period culture of Sweden, as evidenced by Vendel helmet </w:t>
      </w:r>
      <w:proofErr w:type="spellStart"/>
      <w:r>
        <w:t>pressblech</w:t>
      </w:r>
      <w:proofErr w:type="spellEnd"/>
      <w:r>
        <w:t xml:space="preserve"> iconography and the axe found in Vendel grave I (</w:t>
      </w:r>
      <w:proofErr w:type="spellStart"/>
      <w:r>
        <w:t>Arbman</w:t>
      </w:r>
      <w:proofErr w:type="spellEnd"/>
      <w:r>
        <w:t xml:space="preserve">, 1980: 26; Lundström, 1980: 34). The bearded axes of the </w:t>
      </w:r>
      <w:proofErr w:type="spellStart"/>
      <w:r>
        <w:t>Mästermyr</w:t>
      </w:r>
      <w:proofErr w:type="spellEnd"/>
      <w:r>
        <w:t xml:space="preserve"> hoard from Sweden are dated to the Viking </w:t>
      </w:r>
      <w:proofErr w:type="gramStart"/>
      <w:r>
        <w:t>Age, but</w:t>
      </w:r>
      <w:proofErr w:type="gramEnd"/>
      <w:r>
        <w:t xml:space="preserve"> attest to bearded axes being used for carpentry in Scandinavia concurrently with the Early Medieval period in England. It is also notable that the narrow bladed </w:t>
      </w:r>
      <w:proofErr w:type="spellStart"/>
      <w:r>
        <w:t>Mästermyr</w:t>
      </w:r>
      <w:proofErr w:type="spellEnd"/>
      <w:r>
        <w:t xml:space="preserve"> axe appears to be asymmetrical or ‘sided’ like the </w:t>
      </w:r>
      <w:proofErr w:type="spellStart"/>
      <w:r>
        <w:t>Flixborough</w:t>
      </w:r>
      <w:proofErr w:type="spellEnd"/>
      <w:r>
        <w:t xml:space="preserve"> hoard axe (Arwidsson and Berg, 1999: pl 26, no. 61) suggesting a similar purpose for finishing timbers.</w:t>
      </w:r>
    </w:p>
    <w:p w14:paraId="6E3AC65D" w14:textId="77777777" w:rsidR="00E718F3" w:rsidRDefault="00E718F3" w:rsidP="00E718F3">
      <w:pPr>
        <w:jc w:val="both"/>
      </w:pPr>
    </w:p>
    <w:p w14:paraId="5FD8D3B8" w14:textId="1DE0BFB7" w:rsidR="00E718F3" w:rsidRDefault="00E718F3" w:rsidP="00E718F3">
      <w:pPr>
        <w:pStyle w:val="Heading2"/>
      </w:pPr>
      <w:r>
        <w:t>The Sutton Hoo axe-hammer</w:t>
      </w:r>
    </w:p>
    <w:p w14:paraId="1C3F3674" w14:textId="77777777" w:rsidR="00E718F3" w:rsidRDefault="00E718F3" w:rsidP="00E718F3">
      <w:pPr>
        <w:jc w:val="both"/>
      </w:pPr>
      <w:r>
        <w:t>Finally, the enigmatic axe-hammer from Sutton Hoo mound 1 must be addressed. This axe has been tentatively interpreted in the past both as a weapon and as a tool for shipbuilding (Dobat, 2006). However, the estimated original weight of the axe, with its solid iron shaft, is 3kg; a weight which would likely be impractical for both uses. The most recent and convincing interpretation for the axe-hammer’s use is that as a tool for animal sacrifice and therefore a symbol of a chieftain’s priestly role in Germanic pagan society (ibid.).</w:t>
      </w:r>
    </w:p>
    <w:p w14:paraId="4018B63D" w14:textId="77777777" w:rsidR="00E718F3" w:rsidRDefault="00E718F3" w:rsidP="00E718F3"/>
    <w:p w14:paraId="0F14218C" w14:textId="77777777" w:rsidR="00E718F3" w:rsidRDefault="00E718F3" w:rsidP="00E718F3">
      <w:pPr>
        <w:rPr>
          <w:b/>
        </w:rPr>
      </w:pPr>
    </w:p>
    <w:p w14:paraId="1257B41B" w14:textId="433B867A" w:rsidR="00E718F3" w:rsidRDefault="00E718F3" w:rsidP="00E718F3">
      <w:pPr>
        <w:pStyle w:val="Heading1"/>
      </w:pPr>
      <w:r>
        <w:t>Conclusion</w:t>
      </w:r>
    </w:p>
    <w:p w14:paraId="49A524C8" w14:textId="77777777" w:rsidR="00E718F3" w:rsidRDefault="00E718F3" w:rsidP="00E718F3">
      <w:pPr>
        <w:jc w:val="both"/>
      </w:pPr>
      <w:r>
        <w:t xml:space="preserve">Based on the evidence above, the axes used for felling and chopping timber during the Anglo-Saxon period would generally have been between 500-1000g in weight, with rounded or single-stepped lugs below the eye and either a symmetrically flared blade or a blade with a straight upper edge and flared lower edge (Fig. 2). Head lengths appear to be </w:t>
      </w:r>
      <w:proofErr w:type="gramStart"/>
      <w:r>
        <w:t>fairly consistent</w:t>
      </w:r>
      <w:proofErr w:type="gramEnd"/>
      <w:r>
        <w:t xml:space="preserve"> around 160-185mm with blade lengths ranging from 52 to 85mm, resulting in length to blade ratios of 3:1 or 2:1. There is evidence for both ‘wrap-around’ and ‘drifted’ eye forging techniques, and the presence of both tapered and straight eyes provide the possibility for self-wedging and top-wedged hafts respectively (Fig. 5). That said, the intact hafts that have been found suggest a preference for self-wedging hafts. Existing hafts have been made of beech (</w:t>
      </w:r>
      <w:r>
        <w:rPr>
          <w:i/>
        </w:rPr>
        <w:t>Fagus sylvatica</w:t>
      </w:r>
      <w:r>
        <w:t xml:space="preserve">). Hafts may have been </w:t>
      </w:r>
      <w:r>
        <w:rPr>
          <w:i/>
        </w:rPr>
        <w:t>ca.</w:t>
      </w:r>
      <w:r>
        <w:t xml:space="preserve"> 700-800mm in length which, although based on singular evidence, aligns with 19</w:t>
      </w:r>
      <w:r>
        <w:rPr>
          <w:vertAlign w:val="superscript"/>
        </w:rPr>
        <w:t>th</w:t>
      </w:r>
      <w:r>
        <w:t xml:space="preserve"> century forest axe hafts. Unless directly contemporary evidence to the contrary is found, replica axes following the characteristics and forms described above would be good candidates for use in felling and chopping during the reconstruction of the Sutton Hoo Longship.</w:t>
      </w:r>
    </w:p>
    <w:p w14:paraId="5F80F69A" w14:textId="77777777" w:rsidR="00E718F3" w:rsidRDefault="00E718F3" w:rsidP="00E718F3"/>
    <w:p w14:paraId="71816C00" w14:textId="77777777" w:rsidR="00E718F3" w:rsidRDefault="00E718F3" w:rsidP="00E718F3"/>
    <w:p w14:paraId="0D193816" w14:textId="77777777" w:rsidR="00E718F3" w:rsidRDefault="00E718F3" w:rsidP="00E718F3"/>
    <w:p w14:paraId="1B894FAE" w14:textId="77777777" w:rsidR="00E718F3" w:rsidRDefault="00E718F3" w:rsidP="00E718F3"/>
    <w:p w14:paraId="7DC275B6" w14:textId="77777777" w:rsidR="00E718F3" w:rsidRDefault="00E718F3" w:rsidP="00E718F3"/>
    <w:p w14:paraId="282ACD77" w14:textId="77777777" w:rsidR="00E718F3" w:rsidRDefault="00E718F3" w:rsidP="00E718F3"/>
    <w:p w14:paraId="0D191BEF" w14:textId="77777777" w:rsidR="00E718F3" w:rsidRDefault="00E718F3" w:rsidP="00E718F3"/>
    <w:p w14:paraId="1751612A" w14:textId="77777777" w:rsidR="00E718F3" w:rsidRPr="00E718F3" w:rsidRDefault="00E718F3" w:rsidP="00E718F3">
      <w:pPr>
        <w:pStyle w:val="Heading1"/>
        <w:rPr>
          <w:rFonts w:ascii="Times New Roman" w:eastAsia="Times New Roman" w:hAnsi="Times New Roman" w:cs="Times New Roman"/>
        </w:rPr>
      </w:pPr>
      <w:r w:rsidRPr="00E718F3">
        <w:rPr>
          <w:rFonts w:eastAsia="Times New Roman"/>
        </w:rPr>
        <w:lastRenderedPageBreak/>
        <w:t>History</w:t>
      </w:r>
    </w:p>
    <w:p w14:paraId="28094AB9" w14:textId="77777777" w:rsidR="00E718F3" w:rsidRDefault="00E718F3" w:rsidP="00E718F3"/>
    <w:tbl>
      <w:tblPr>
        <w:tblW w:w="0" w:type="auto"/>
        <w:tblCellMar>
          <w:top w:w="15" w:type="dxa"/>
          <w:left w:w="15" w:type="dxa"/>
          <w:bottom w:w="15" w:type="dxa"/>
          <w:right w:w="15" w:type="dxa"/>
        </w:tblCellMar>
        <w:tblLook w:val="04A0" w:firstRow="1" w:lastRow="0" w:firstColumn="1" w:lastColumn="0" w:noHBand="0" w:noVBand="1"/>
      </w:tblPr>
      <w:tblGrid>
        <w:gridCol w:w="988"/>
        <w:gridCol w:w="979"/>
        <w:gridCol w:w="1046"/>
        <w:gridCol w:w="5997"/>
      </w:tblGrid>
      <w:tr w:rsidR="00E718F3" w:rsidRPr="00AC2E7A" w14:paraId="1B72976B" w14:textId="77777777" w:rsidTr="00A96254">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4531B" w14:textId="77777777" w:rsidR="00E718F3" w:rsidRPr="00AC2E7A" w:rsidRDefault="00E718F3" w:rsidP="00D44068">
            <w:pPr>
              <w:rPr>
                <w:rFonts w:ascii="Times New Roman" w:eastAsia="Times New Roman" w:hAnsi="Times New Roman" w:cs="Times New Roman"/>
              </w:rPr>
            </w:pPr>
            <w:r w:rsidRPr="00AC2E7A">
              <w:rPr>
                <w:rFonts w:eastAsia="Times New Roman"/>
                <w:b/>
                <w:bCs/>
                <w:color w:val="000000"/>
              </w:rPr>
              <w:t>Status</w:t>
            </w:r>
          </w:p>
        </w:tc>
        <w:tc>
          <w:tcPr>
            <w:tcW w:w="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4F99D" w14:textId="77777777" w:rsidR="00E718F3" w:rsidRPr="00AC2E7A" w:rsidRDefault="00E718F3" w:rsidP="00D44068">
            <w:pPr>
              <w:rPr>
                <w:rFonts w:ascii="Times New Roman" w:eastAsia="Times New Roman" w:hAnsi="Times New Roman" w:cs="Times New Roman"/>
              </w:rPr>
            </w:pPr>
            <w:r w:rsidRPr="00AC2E7A">
              <w:rPr>
                <w:rFonts w:eastAsia="Times New Roman"/>
                <w:b/>
                <w:bCs/>
                <w:color w:val="000000"/>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8EED3" w14:textId="77777777" w:rsidR="00E718F3" w:rsidRPr="00AC2E7A" w:rsidRDefault="00E718F3" w:rsidP="00D44068">
            <w:pPr>
              <w:rPr>
                <w:rFonts w:ascii="Times New Roman" w:eastAsia="Times New Roman" w:hAnsi="Times New Roman" w:cs="Times New Roman"/>
              </w:rPr>
            </w:pPr>
            <w:r w:rsidRPr="00AC2E7A">
              <w:rPr>
                <w:rFonts w:eastAsia="Times New Roman"/>
                <w:b/>
                <w:bCs/>
                <w:color w:val="000000"/>
              </w:rPr>
              <w:t>Author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EF8FC" w14:textId="77777777" w:rsidR="00E718F3" w:rsidRPr="00AC2E7A" w:rsidRDefault="00E718F3" w:rsidP="00D44068">
            <w:pPr>
              <w:rPr>
                <w:rFonts w:ascii="Times New Roman" w:eastAsia="Times New Roman" w:hAnsi="Times New Roman" w:cs="Times New Roman"/>
              </w:rPr>
            </w:pPr>
            <w:r w:rsidRPr="00AC2E7A">
              <w:rPr>
                <w:rFonts w:eastAsia="Times New Roman"/>
                <w:b/>
                <w:bCs/>
                <w:color w:val="000000"/>
              </w:rPr>
              <w:t>Details of change</w:t>
            </w:r>
          </w:p>
        </w:tc>
      </w:tr>
      <w:tr w:rsidR="00E718F3" w:rsidRPr="00AC2E7A" w14:paraId="5D6CD113" w14:textId="77777777" w:rsidTr="00A96254">
        <w:trPr>
          <w:trHeight w:val="726"/>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79C5F" w14:textId="77777777" w:rsidR="00E718F3" w:rsidRPr="00AC2E7A" w:rsidRDefault="00E718F3" w:rsidP="00D44068">
            <w:pPr>
              <w:rPr>
                <w:rFonts w:ascii="Times New Roman" w:eastAsia="Times New Roman" w:hAnsi="Times New Roman" w:cs="Times New Roman"/>
              </w:rPr>
            </w:pPr>
            <w:r>
              <w:rPr>
                <w:rFonts w:eastAsia="Times New Roman"/>
                <w:color w:val="000000"/>
              </w:rPr>
              <w:t>Draft 0.1</w:t>
            </w:r>
          </w:p>
          <w:p w14:paraId="08A69A58" w14:textId="77777777" w:rsidR="00E718F3" w:rsidRPr="00AC2E7A" w:rsidRDefault="00E718F3" w:rsidP="00D44068">
            <w:pPr>
              <w:rPr>
                <w:rFonts w:ascii="Times New Roman" w:eastAsia="Times New Roman" w:hAnsi="Times New Roman" w:cs="Times New Roman"/>
              </w:rPr>
            </w:pPr>
          </w:p>
        </w:tc>
        <w:tc>
          <w:tcPr>
            <w:tcW w:w="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BCD6D" w14:textId="77777777" w:rsidR="00E718F3" w:rsidRPr="00AC2E7A" w:rsidRDefault="00E718F3" w:rsidP="00D44068">
            <w:pPr>
              <w:rPr>
                <w:rFonts w:ascii="Times New Roman" w:eastAsia="Times New Roman" w:hAnsi="Times New Roman" w:cs="Times New Roman"/>
              </w:rPr>
            </w:pPr>
            <w:r w:rsidRPr="00AC2E7A">
              <w:rPr>
                <w:rFonts w:eastAsia="Times New Roman"/>
                <w:color w:val="000000"/>
              </w:rPr>
              <w:t>26/03/21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4B5EC" w14:textId="77777777" w:rsidR="00E718F3" w:rsidRPr="00AC2E7A" w:rsidRDefault="00E718F3" w:rsidP="00D44068">
            <w:pPr>
              <w:rPr>
                <w:rFonts w:ascii="Times New Roman" w:eastAsia="Times New Roman" w:hAnsi="Times New Roman" w:cs="Times New Roman"/>
              </w:rPr>
            </w:pPr>
            <w:r w:rsidRPr="00AC2E7A">
              <w:rPr>
                <w:rFonts w:eastAsia="Times New Roman"/>
                <w:color w:val="000000"/>
              </w:rPr>
              <w:t>Alec Newland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40B28" w14:textId="77777777" w:rsidR="00E718F3" w:rsidRPr="00AC2E7A" w:rsidRDefault="00E718F3" w:rsidP="00D44068">
            <w:pPr>
              <w:rPr>
                <w:rFonts w:ascii="Times New Roman" w:eastAsia="Times New Roman" w:hAnsi="Times New Roman" w:cs="Times New Roman"/>
              </w:rPr>
            </w:pPr>
            <w:r>
              <w:rPr>
                <w:rFonts w:eastAsia="Times New Roman"/>
                <w:color w:val="000000"/>
              </w:rPr>
              <w:t>First Draft</w:t>
            </w:r>
          </w:p>
        </w:tc>
      </w:tr>
      <w:tr w:rsidR="00E718F3" w:rsidRPr="00AC2E7A" w14:paraId="094D27D1" w14:textId="77777777" w:rsidTr="00A96254">
        <w:trPr>
          <w:trHeight w:val="726"/>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DB40C" w14:textId="77777777" w:rsidR="00E718F3" w:rsidRPr="00AC2E7A" w:rsidRDefault="00E718F3" w:rsidP="00D44068">
            <w:pPr>
              <w:rPr>
                <w:rFonts w:eastAsia="Times New Roman"/>
                <w:color w:val="000000"/>
              </w:rPr>
            </w:pPr>
            <w:r>
              <w:rPr>
                <w:rFonts w:eastAsia="Times New Roman"/>
                <w:color w:val="000000"/>
              </w:rPr>
              <w:t>Issue 1.0</w:t>
            </w:r>
          </w:p>
        </w:tc>
        <w:tc>
          <w:tcPr>
            <w:tcW w:w="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10AA5" w14:textId="77777777" w:rsidR="00E718F3" w:rsidRPr="00AC2E7A" w:rsidRDefault="00E718F3" w:rsidP="00D44068">
            <w:pPr>
              <w:rPr>
                <w:rFonts w:eastAsia="Times New Roman"/>
                <w:color w:val="000000"/>
              </w:rPr>
            </w:pPr>
            <w:r>
              <w:rPr>
                <w:rFonts w:eastAsia="Times New Roman"/>
                <w:color w:val="000000"/>
              </w:rPr>
              <w:t>05/08/21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2576D" w14:textId="77777777" w:rsidR="00E718F3" w:rsidRPr="00AC2E7A" w:rsidRDefault="00E718F3" w:rsidP="00D44068">
            <w:pPr>
              <w:rPr>
                <w:rFonts w:eastAsia="Times New Roman"/>
                <w:color w:val="000000"/>
              </w:rPr>
            </w:pPr>
            <w:r>
              <w:rPr>
                <w:rFonts w:eastAsia="Times New Roman"/>
                <w:color w:val="000000"/>
              </w:rPr>
              <w:t>Alec Newland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0B144" w14:textId="77777777" w:rsidR="00E718F3" w:rsidRPr="00AC2E7A" w:rsidRDefault="00E718F3" w:rsidP="00D44068">
            <w:pPr>
              <w:rPr>
                <w:rFonts w:eastAsia="Times New Roman"/>
                <w:color w:val="000000"/>
              </w:rPr>
            </w:pPr>
            <w:r>
              <w:rPr>
                <w:rFonts w:eastAsia="Times New Roman"/>
                <w:color w:val="000000"/>
              </w:rPr>
              <w:t xml:space="preserve">Second draft, subsequently updated according to comments by peer review led by Kasandra Boguslawska. Changed terminology, added descriptions of axe use, added ‘Anatomy of an axe’ section, minor </w:t>
            </w:r>
            <w:proofErr w:type="gramStart"/>
            <w:r>
              <w:rPr>
                <w:rFonts w:eastAsia="Times New Roman"/>
                <w:color w:val="000000"/>
              </w:rPr>
              <w:t>changes</w:t>
            </w:r>
            <w:proofErr w:type="gramEnd"/>
            <w:r>
              <w:rPr>
                <w:rFonts w:eastAsia="Times New Roman"/>
                <w:color w:val="000000"/>
              </w:rPr>
              <w:t xml:space="preserve"> and formatting.</w:t>
            </w:r>
          </w:p>
        </w:tc>
      </w:tr>
    </w:tbl>
    <w:p w14:paraId="6FFD338C" w14:textId="77777777" w:rsidR="00E718F3" w:rsidRPr="00AC2E7A" w:rsidRDefault="00E718F3" w:rsidP="00E718F3">
      <w:pPr>
        <w:rPr>
          <w:rFonts w:ascii="Times New Roman" w:eastAsia="Times New Roman" w:hAnsi="Times New Roman" w:cs="Times New Roman"/>
        </w:rPr>
      </w:pPr>
    </w:p>
    <w:p w14:paraId="5FAF6BA8" w14:textId="77777777" w:rsidR="00E718F3" w:rsidRPr="0092390D" w:rsidRDefault="00E718F3" w:rsidP="00E718F3">
      <w:pPr>
        <w:rPr>
          <w:b/>
        </w:rPr>
      </w:pPr>
    </w:p>
    <w:p w14:paraId="67C1F827" w14:textId="77777777" w:rsidR="00E718F3" w:rsidRPr="00A665A5" w:rsidRDefault="00E718F3" w:rsidP="00E718F3">
      <w:pPr>
        <w:pStyle w:val="Heading1"/>
        <w:rPr>
          <w:lang w:val="sv-SE"/>
        </w:rPr>
      </w:pPr>
      <w:proofErr w:type="spellStart"/>
      <w:r w:rsidRPr="00A665A5">
        <w:rPr>
          <w:lang w:val="sv-SE"/>
        </w:rPr>
        <w:t>References</w:t>
      </w:r>
      <w:proofErr w:type="spellEnd"/>
    </w:p>
    <w:p w14:paraId="4F558731" w14:textId="77777777" w:rsidR="003C2D26" w:rsidRDefault="003C2D26" w:rsidP="00E718F3">
      <w:pPr>
        <w:rPr>
          <w:lang w:val="sv-SE"/>
        </w:rPr>
      </w:pPr>
    </w:p>
    <w:p w14:paraId="1759CE21" w14:textId="2F50F1B5" w:rsidR="00E718F3" w:rsidRPr="00731F05" w:rsidRDefault="00E718F3" w:rsidP="00E718F3">
      <w:pPr>
        <w:rPr>
          <w:lang w:val="sv-SE"/>
        </w:rPr>
      </w:pPr>
      <w:proofErr w:type="spellStart"/>
      <w:r w:rsidRPr="00A665A5">
        <w:rPr>
          <w:lang w:val="sv-SE"/>
        </w:rPr>
        <w:t>Arbman</w:t>
      </w:r>
      <w:proofErr w:type="spellEnd"/>
      <w:r w:rsidRPr="00A665A5">
        <w:rPr>
          <w:lang w:val="sv-SE"/>
        </w:rPr>
        <w:t>, H., 1980. ‘</w:t>
      </w:r>
      <w:r w:rsidRPr="00A665A5">
        <w:rPr>
          <w:i/>
          <w:lang w:val="sv-SE"/>
        </w:rPr>
        <w:t xml:space="preserve">Båtgravarna I </w:t>
      </w:r>
      <w:proofErr w:type="spellStart"/>
      <w:r w:rsidRPr="00A665A5">
        <w:rPr>
          <w:i/>
          <w:lang w:val="sv-SE"/>
        </w:rPr>
        <w:t>Vendel</w:t>
      </w:r>
      <w:proofErr w:type="spellEnd"/>
      <w:r w:rsidRPr="00A665A5">
        <w:rPr>
          <w:lang w:val="sv-SE"/>
        </w:rPr>
        <w:t xml:space="preserve">’ in Sandwall, A., </w:t>
      </w:r>
      <w:proofErr w:type="spellStart"/>
      <w:r w:rsidRPr="00A665A5">
        <w:rPr>
          <w:i/>
          <w:lang w:val="sv-SE"/>
        </w:rPr>
        <w:t>Vendeltid</w:t>
      </w:r>
      <w:proofErr w:type="spellEnd"/>
      <w:r w:rsidRPr="00A665A5">
        <w:rPr>
          <w:i/>
          <w:lang w:val="sv-SE"/>
        </w:rPr>
        <w:t xml:space="preserve">. </w:t>
      </w:r>
      <w:r w:rsidRPr="00731F05">
        <w:rPr>
          <w:lang w:val="sv-SE"/>
        </w:rPr>
        <w:t xml:space="preserve">Stockholm: Statens Historiska Museum, </w:t>
      </w:r>
      <w:proofErr w:type="spellStart"/>
      <w:r w:rsidRPr="00731F05">
        <w:rPr>
          <w:lang w:val="sv-SE"/>
        </w:rPr>
        <w:t>pp</w:t>
      </w:r>
      <w:proofErr w:type="spellEnd"/>
      <w:r w:rsidRPr="00731F05">
        <w:rPr>
          <w:lang w:val="sv-SE"/>
        </w:rPr>
        <w:t>. 26.</w:t>
      </w:r>
    </w:p>
    <w:p w14:paraId="6B459948" w14:textId="77777777" w:rsidR="00E718F3" w:rsidRDefault="00E718F3" w:rsidP="00E718F3">
      <w:r>
        <w:t xml:space="preserve">Arwidsson, G., and Berg G., 1999. </w:t>
      </w:r>
      <w:r>
        <w:rPr>
          <w:i/>
        </w:rPr>
        <w:t xml:space="preserve">The </w:t>
      </w:r>
      <w:proofErr w:type="spellStart"/>
      <w:r>
        <w:rPr>
          <w:i/>
        </w:rPr>
        <w:t>Mästermyr</w:t>
      </w:r>
      <w:proofErr w:type="spellEnd"/>
      <w:r>
        <w:rPr>
          <w:i/>
        </w:rPr>
        <w:t xml:space="preserve"> Find. A Viking Age Tool Chest from Gotland</w:t>
      </w:r>
      <w:r>
        <w:t>.</w:t>
      </w:r>
    </w:p>
    <w:p w14:paraId="6816626E" w14:textId="77777777" w:rsidR="00E718F3" w:rsidRDefault="00E718F3" w:rsidP="00E718F3">
      <w:r>
        <w:t xml:space="preserve">Bruce-Mitford, R., 1975. </w:t>
      </w:r>
      <w:r>
        <w:rPr>
          <w:i/>
        </w:rPr>
        <w:t>The Sutton Hoo Ship-Burial. Volume I: Excavations, Background, The Ship, Dating and Inventory</w:t>
      </w:r>
      <w:r>
        <w:t>. Cambridge: British Museum Publications Ltd, pp. 126.</w:t>
      </w:r>
    </w:p>
    <w:p w14:paraId="3DCAF8CB" w14:textId="77777777" w:rsidR="00E718F3" w:rsidRDefault="00E718F3" w:rsidP="00E718F3">
      <w:r>
        <w:t xml:space="preserve">Christensen, A.E., 2008. Recreating Two Early-Norse Tool Chests, </w:t>
      </w:r>
      <w:r>
        <w:rPr>
          <w:i/>
        </w:rPr>
        <w:t>IJNA</w:t>
      </w:r>
      <w:r>
        <w:rPr>
          <w:b/>
        </w:rPr>
        <w:t xml:space="preserve"> 37</w:t>
      </w:r>
      <w:r>
        <w:t>(1), pp. 177-184</w:t>
      </w:r>
    </w:p>
    <w:p w14:paraId="2EB74DA0" w14:textId="77777777" w:rsidR="00E718F3" w:rsidRDefault="00E718F3" w:rsidP="00E718F3">
      <w:pPr>
        <w:rPr>
          <w:color w:val="000000"/>
        </w:rPr>
      </w:pPr>
      <w:r>
        <w:t xml:space="preserve">Dobat, A.S., 2006. The king and his cult: The axe-hammer from Sutton Hoo and its implications for the concept of sacral leadership in Early Medieval Europe. </w:t>
      </w:r>
      <w:r>
        <w:rPr>
          <w:i/>
        </w:rPr>
        <w:t xml:space="preserve">Antiquity </w:t>
      </w:r>
      <w:r>
        <w:rPr>
          <w:b/>
        </w:rPr>
        <w:t>80</w:t>
      </w:r>
      <w:r>
        <w:t>, pp. 880-893.</w:t>
      </w:r>
    </w:p>
    <w:p w14:paraId="4929D0B6" w14:textId="77777777" w:rsidR="00E718F3" w:rsidRDefault="00E718F3" w:rsidP="00E718F3">
      <w:pPr>
        <w:rPr>
          <w:color w:val="000000"/>
        </w:rPr>
      </w:pPr>
      <w:r>
        <w:rPr>
          <w:color w:val="000000"/>
        </w:rPr>
        <w:t xml:space="preserve">Evans, D.H. and </w:t>
      </w:r>
      <w:proofErr w:type="spellStart"/>
      <w:r>
        <w:rPr>
          <w:color w:val="000000"/>
        </w:rPr>
        <w:t>Loveluck</w:t>
      </w:r>
      <w:proofErr w:type="spellEnd"/>
      <w:r>
        <w:rPr>
          <w:color w:val="000000"/>
        </w:rPr>
        <w:t xml:space="preserve">, C., 2009. </w:t>
      </w:r>
      <w:r>
        <w:rPr>
          <w:i/>
          <w:color w:val="000000"/>
        </w:rPr>
        <w:t xml:space="preserve">Life and Economy at Early Medieval </w:t>
      </w:r>
      <w:proofErr w:type="spellStart"/>
      <w:r>
        <w:rPr>
          <w:i/>
          <w:color w:val="000000"/>
        </w:rPr>
        <w:t>Flixborough</w:t>
      </w:r>
      <w:proofErr w:type="spellEnd"/>
      <w:r>
        <w:rPr>
          <w:i/>
          <w:color w:val="000000"/>
        </w:rPr>
        <w:t xml:space="preserve">. </w:t>
      </w:r>
      <w:r>
        <w:rPr>
          <w:color w:val="000000"/>
        </w:rPr>
        <w:t>Oxford: Oxbow Books, pp. 253-260.</w:t>
      </w:r>
    </w:p>
    <w:p w14:paraId="6438AAEF" w14:textId="77777777" w:rsidR="00E718F3" w:rsidRDefault="00E718F3" w:rsidP="00E718F3">
      <w:r>
        <w:rPr>
          <w:color w:val="000000"/>
        </w:rPr>
        <w:t xml:space="preserve">Engelhardt, C., 1866. </w:t>
      </w:r>
      <w:r>
        <w:rPr>
          <w:i/>
          <w:color w:val="000000"/>
        </w:rPr>
        <w:t>Denmark in the Early Iron Age</w:t>
      </w:r>
      <w:r>
        <w:rPr>
          <w:color w:val="000000"/>
        </w:rPr>
        <w:t xml:space="preserve">. London: Williams and Norgate, </w:t>
      </w:r>
      <w:r>
        <w:t>pl. XV</w:t>
      </w:r>
    </w:p>
    <w:p w14:paraId="6D028457" w14:textId="77777777" w:rsidR="00E718F3" w:rsidRDefault="00E718F3" w:rsidP="00E718F3">
      <w:r>
        <w:t xml:space="preserve">Hirst, S. and Clark, D., 2009. </w:t>
      </w:r>
      <w:r>
        <w:rPr>
          <w:i/>
        </w:rPr>
        <w:t>Excavations at Mucking. The Anglo-Saxon Cemeteries</w:t>
      </w:r>
      <w:r>
        <w:t>. London: MOLA, fig. 209.1; pp. 401.</w:t>
      </w:r>
    </w:p>
    <w:p w14:paraId="149BDE91" w14:textId="77777777" w:rsidR="00E718F3" w:rsidRDefault="00E718F3" w:rsidP="00E718F3">
      <w:r>
        <w:t>Hodges, C. C., 1905. ‘</w:t>
      </w:r>
      <w:r>
        <w:rPr>
          <w:i/>
        </w:rPr>
        <w:t>Anglo-Saxon remains</w:t>
      </w:r>
      <w:r>
        <w:t xml:space="preserve">’ in </w:t>
      </w:r>
      <w:r>
        <w:rPr>
          <w:i/>
        </w:rPr>
        <w:t>Victoria County History of Durham I</w:t>
      </w:r>
      <w:r>
        <w:t>. London, pp. 211-240.</w:t>
      </w:r>
    </w:p>
    <w:p w14:paraId="3AB615F3" w14:textId="77777777" w:rsidR="00E718F3" w:rsidRDefault="00E718F3" w:rsidP="00E718F3">
      <w:pPr>
        <w:rPr>
          <w:color w:val="000000"/>
        </w:rPr>
      </w:pPr>
      <w:r>
        <w:rPr>
          <w:color w:val="000000"/>
        </w:rPr>
        <w:t xml:space="preserve">Hollingworth E.J. and O’Reilly M.M., 1925. </w:t>
      </w:r>
      <w:r>
        <w:rPr>
          <w:i/>
          <w:color w:val="000000"/>
        </w:rPr>
        <w:t xml:space="preserve">The Anglo-Saxon Cemetery at Girton College, Cambridge: </w:t>
      </w:r>
      <w:r>
        <w:rPr>
          <w:i/>
        </w:rPr>
        <w:t xml:space="preserve">A Report Based on the MS. Notes of the Excavations Made by the Late F. J. H. Jenkinson M.A. </w:t>
      </w:r>
      <w:r>
        <w:rPr>
          <w:color w:val="000000"/>
        </w:rPr>
        <w:t>New York: Cambridge University Press.</w:t>
      </w:r>
    </w:p>
    <w:p w14:paraId="7674EABC" w14:textId="77777777" w:rsidR="00E718F3" w:rsidRDefault="00E718F3" w:rsidP="00E718F3">
      <w:r w:rsidRPr="00A665A5">
        <w:rPr>
          <w:lang w:val="sv-SE"/>
        </w:rPr>
        <w:t>Lundström A., 1980. ‘</w:t>
      </w:r>
      <w:r w:rsidRPr="00A665A5">
        <w:rPr>
          <w:i/>
          <w:lang w:val="sv-SE"/>
        </w:rPr>
        <w:t xml:space="preserve">Gravgåvorna </w:t>
      </w:r>
      <w:proofErr w:type="spellStart"/>
      <w:r w:rsidRPr="00A665A5">
        <w:rPr>
          <w:i/>
          <w:lang w:val="sv-SE"/>
        </w:rPr>
        <w:t>Vendel</w:t>
      </w:r>
      <w:proofErr w:type="spellEnd"/>
      <w:r w:rsidRPr="00A665A5">
        <w:rPr>
          <w:lang w:val="sv-SE"/>
        </w:rPr>
        <w:t xml:space="preserve">’ in Sandwall, A., </w:t>
      </w:r>
      <w:proofErr w:type="spellStart"/>
      <w:r w:rsidRPr="00A665A5">
        <w:rPr>
          <w:i/>
          <w:lang w:val="sv-SE"/>
        </w:rPr>
        <w:t>Vendeltid</w:t>
      </w:r>
      <w:proofErr w:type="spellEnd"/>
      <w:r w:rsidRPr="00A665A5">
        <w:rPr>
          <w:i/>
          <w:lang w:val="sv-SE"/>
        </w:rPr>
        <w:t xml:space="preserve">. </w:t>
      </w:r>
      <w:r>
        <w:t xml:space="preserve">Stockholm: </w:t>
      </w:r>
      <w:proofErr w:type="spellStart"/>
      <w:r>
        <w:t>Statens</w:t>
      </w:r>
      <w:proofErr w:type="spellEnd"/>
      <w:r>
        <w:t xml:space="preserve"> </w:t>
      </w:r>
      <w:proofErr w:type="spellStart"/>
      <w:r>
        <w:t>Historiska</w:t>
      </w:r>
      <w:proofErr w:type="spellEnd"/>
      <w:r>
        <w:t xml:space="preserve"> Museum, pp. 34.</w:t>
      </w:r>
    </w:p>
    <w:p w14:paraId="7E5E17DE" w14:textId="77777777" w:rsidR="00E718F3" w:rsidRDefault="00E718F3" w:rsidP="00E718F3">
      <w:r>
        <w:t xml:space="preserve">Marzinzik, S., 2013. </w:t>
      </w:r>
      <w:r>
        <w:rPr>
          <w:i/>
        </w:rPr>
        <w:t xml:space="preserve">Masterpieces of Early Medieval Art. </w:t>
      </w:r>
      <w:r>
        <w:t>London: British Museum Press.</w:t>
      </w:r>
    </w:p>
    <w:p w14:paraId="7AC69D4D" w14:textId="77777777" w:rsidR="00E718F3" w:rsidRDefault="00E718F3" w:rsidP="00E718F3">
      <w:r>
        <w:t>Portable Antiquities Scheme: www.finds.org.uk [Accessed 12/03/2021].</w:t>
      </w:r>
    </w:p>
    <w:p w14:paraId="308D8457" w14:textId="77777777" w:rsidR="00E718F3" w:rsidRDefault="00E718F3" w:rsidP="00E718F3">
      <w:r>
        <w:t xml:space="preserve">Stenton, F., 1957. </w:t>
      </w:r>
      <w:r>
        <w:rPr>
          <w:i/>
        </w:rPr>
        <w:t xml:space="preserve">The Bayeux Tapestry </w:t>
      </w:r>
      <w:r>
        <w:t xml:space="preserve">(London). </w:t>
      </w:r>
    </w:p>
    <w:p w14:paraId="401AD0B4" w14:textId="77777777" w:rsidR="00E718F3" w:rsidRDefault="00E718F3" w:rsidP="00E718F3">
      <w:pPr>
        <w:rPr>
          <w:rFonts w:ascii="Times New Roman" w:eastAsia="Times New Roman" w:hAnsi="Times New Roman" w:cs="Times New Roman"/>
        </w:rPr>
      </w:pPr>
      <w:r>
        <w:rPr>
          <w:color w:val="000000"/>
          <w:highlight w:val="white"/>
        </w:rPr>
        <w:t xml:space="preserve">Sørensen, T. and Rodevad Dael, M., 2020. Roar Edge: The Lifecycle of a Reconstructed Viking Ship. </w:t>
      </w:r>
      <w:r>
        <w:rPr>
          <w:i/>
          <w:color w:val="000000"/>
          <w:highlight w:val="white"/>
        </w:rPr>
        <w:t>EXARC Journal</w:t>
      </w:r>
      <w:r>
        <w:rPr>
          <w:color w:val="000000"/>
          <w:highlight w:val="white"/>
        </w:rPr>
        <w:t xml:space="preserve"> </w:t>
      </w:r>
      <w:r>
        <w:rPr>
          <w:i/>
          <w:color w:val="000000"/>
          <w:highlight w:val="white"/>
        </w:rPr>
        <w:t xml:space="preserve">2020 </w:t>
      </w:r>
      <w:r>
        <w:rPr>
          <w:b/>
          <w:color w:val="000000"/>
          <w:highlight w:val="white"/>
        </w:rPr>
        <w:t>2</w:t>
      </w:r>
      <w:r>
        <w:rPr>
          <w:color w:val="000000"/>
          <w:highlight w:val="white"/>
        </w:rPr>
        <w:t>.</w:t>
      </w:r>
    </w:p>
    <w:p w14:paraId="5FC54DB9" w14:textId="77777777" w:rsidR="00E718F3" w:rsidRDefault="00E718F3" w:rsidP="00E718F3">
      <w:r>
        <w:t xml:space="preserve">Wheeler, M., 1927. </w:t>
      </w:r>
      <w:r>
        <w:rPr>
          <w:i/>
        </w:rPr>
        <w:t xml:space="preserve">London and the Vikings, London Museum Catalogues: No. 1. </w:t>
      </w:r>
      <w:r>
        <w:t>London.</w:t>
      </w:r>
    </w:p>
    <w:p w14:paraId="1C91FC53" w14:textId="5142E316" w:rsidR="002B67D1" w:rsidRPr="00F402EC" w:rsidRDefault="002B67D1" w:rsidP="001F3A07"/>
    <w:sectPr w:rsidR="002B67D1" w:rsidRPr="00F402EC" w:rsidSect="00F402EC">
      <w:headerReference w:type="default" r:id="rId16"/>
      <w:footerReference w:type="default" r:id="rId17"/>
      <w:pgSz w:w="11900" w:h="16840"/>
      <w:pgMar w:top="1440" w:right="1440" w:bottom="1440" w:left="1440" w:header="709"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25E3A" w14:textId="77777777" w:rsidR="00591BEC" w:rsidRDefault="00591BEC" w:rsidP="00AB6AF8">
      <w:r>
        <w:separator/>
      </w:r>
    </w:p>
  </w:endnote>
  <w:endnote w:type="continuationSeparator" w:id="0">
    <w:p w14:paraId="44BA7032" w14:textId="77777777" w:rsidR="00591BEC" w:rsidRDefault="00591BEC" w:rsidP="00AB6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Helvetica Neue">
    <w:altName w:val="Corbel"/>
    <w:charset w:val="00"/>
    <w:family w:val="auto"/>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FS Matthew 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626571"/>
      <w:docPartObj>
        <w:docPartGallery w:val="Page Numbers (Bottom of Page)"/>
        <w:docPartUnique/>
      </w:docPartObj>
    </w:sdtPr>
    <w:sdtEndPr>
      <w:rPr>
        <w:noProof/>
      </w:rPr>
    </w:sdtEndPr>
    <w:sdtContent>
      <w:p w14:paraId="747CA8C6" w14:textId="210E7BA0" w:rsidR="008B6845" w:rsidRDefault="008B68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1E7296" w14:textId="1B338EA9" w:rsidR="00993C41" w:rsidRPr="00233C98" w:rsidRDefault="00993C41" w:rsidP="00F402EC">
    <w:pPr>
      <w:pStyle w:val="HeaderFooterAA"/>
      <w:tabs>
        <w:tab w:val="clear" w:pos="9020"/>
        <w:tab w:val="center" w:pos="4819"/>
        <w:tab w:val="right" w:pos="9612"/>
      </w:tabs>
      <w:rPr>
        <w:rFonts w:ascii="Calibri" w:hAnsi="Calibri"/>
        <w:color w:val="121746"/>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E30EB" w14:textId="77777777" w:rsidR="00591BEC" w:rsidRDefault="00591BEC" w:rsidP="00AB6AF8">
      <w:r>
        <w:separator/>
      </w:r>
    </w:p>
  </w:footnote>
  <w:footnote w:type="continuationSeparator" w:id="0">
    <w:p w14:paraId="5AB6FE45" w14:textId="77777777" w:rsidR="00591BEC" w:rsidRDefault="00591BEC" w:rsidP="00AB6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CB056" w14:textId="77777777" w:rsidR="000F793D" w:rsidRPr="003C2D26" w:rsidRDefault="000F793D" w:rsidP="00A96254">
    <w:pPr>
      <w:autoSpaceDE/>
      <w:autoSpaceDN/>
      <w:adjustRightInd/>
      <w:ind w:right="-761"/>
      <w:jc w:val="right"/>
      <w:rPr>
        <w:rFonts w:ascii="FS Matthew Light" w:eastAsia="FS Matthew Light" w:hAnsi="FS Matthew Light" w:cs="FS Matthew Light"/>
        <w:b/>
        <w:i/>
        <w:color w:val="121746"/>
        <w:lang w:eastAsia="en-GB"/>
      </w:rPr>
    </w:pPr>
    <w:r w:rsidRPr="003C2D26">
      <w:rPr>
        <w:rFonts w:ascii="FS Matthew Light" w:eastAsia="FS Matthew Light" w:hAnsi="FS Matthew Light" w:cs="FS Matthew Light"/>
        <w:b/>
        <w:i/>
        <w:color w:val="121746"/>
        <w:lang w:eastAsia="en-GB"/>
      </w:rPr>
      <w:t>The Sutton Hoo Ship’s Company</w:t>
    </w:r>
    <w:r w:rsidRPr="003C2D26">
      <w:rPr>
        <w:rFonts w:eastAsia="Calibri"/>
        <w:noProof/>
        <w:lang w:eastAsia="en-GB"/>
      </w:rPr>
      <w:drawing>
        <wp:anchor distT="0" distB="0" distL="114300" distR="114300" simplePos="0" relativeHeight="251659264" behindDoc="0" locked="0" layoutInCell="1" hidden="0" allowOverlap="1" wp14:anchorId="2E6BD7EC" wp14:editId="7A474F93">
          <wp:simplePos x="0" y="0"/>
          <wp:positionH relativeFrom="column">
            <wp:posOffset>147955</wp:posOffset>
          </wp:positionH>
          <wp:positionV relativeFrom="paragraph">
            <wp:posOffset>-307974</wp:posOffset>
          </wp:positionV>
          <wp:extent cx="2314575" cy="1360170"/>
          <wp:effectExtent l="0" t="0" r="0" b="0"/>
          <wp:wrapSquare wrapText="bothSides" distT="0" distB="0" distL="114300" distR="114300"/>
          <wp:docPr id="1"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Logo, company name&#10;&#10;Description automatically generated"/>
                  <pic:cNvPicPr preferRelativeResize="0"/>
                </pic:nvPicPr>
                <pic:blipFill>
                  <a:blip r:embed="rId1"/>
                  <a:srcRect/>
                  <a:stretch>
                    <a:fillRect/>
                  </a:stretch>
                </pic:blipFill>
                <pic:spPr>
                  <a:xfrm>
                    <a:off x="0" y="0"/>
                    <a:ext cx="2314575" cy="1360170"/>
                  </a:xfrm>
                  <a:prstGeom prst="rect">
                    <a:avLst/>
                  </a:prstGeom>
                  <a:ln/>
                </pic:spPr>
              </pic:pic>
            </a:graphicData>
          </a:graphic>
        </wp:anchor>
      </w:drawing>
    </w:r>
  </w:p>
  <w:p w14:paraId="2625AB36" w14:textId="77777777" w:rsidR="000F793D" w:rsidRPr="003C2D26" w:rsidRDefault="000F793D" w:rsidP="00A96254">
    <w:pPr>
      <w:autoSpaceDE/>
      <w:autoSpaceDN/>
      <w:adjustRightInd/>
      <w:ind w:right="-761"/>
      <w:jc w:val="right"/>
      <w:rPr>
        <w:rFonts w:ascii="FS Matthew Light" w:eastAsia="FS Matthew Light" w:hAnsi="FS Matthew Light" w:cs="FS Matthew Light"/>
        <w:i/>
        <w:color w:val="121746"/>
        <w:lang w:eastAsia="en-GB"/>
      </w:rPr>
    </w:pPr>
    <w:r w:rsidRPr="003C2D26">
      <w:rPr>
        <w:rFonts w:ascii="FS Matthew Light" w:eastAsia="FS Matthew Light" w:hAnsi="FS Matthew Light" w:cs="FS Matthew Light"/>
        <w:i/>
        <w:color w:val="121746"/>
        <w:lang w:eastAsia="en-GB"/>
      </w:rPr>
      <w:t>The Longshed</w:t>
    </w:r>
  </w:p>
  <w:p w14:paraId="0E25F38A" w14:textId="77777777" w:rsidR="000F793D" w:rsidRPr="003C2D26" w:rsidRDefault="000F793D" w:rsidP="00A96254">
    <w:pPr>
      <w:autoSpaceDE/>
      <w:autoSpaceDN/>
      <w:adjustRightInd/>
      <w:ind w:right="-761"/>
      <w:jc w:val="right"/>
      <w:rPr>
        <w:rFonts w:ascii="FS Matthew Light" w:eastAsia="FS Matthew Light" w:hAnsi="FS Matthew Light" w:cs="FS Matthew Light"/>
        <w:i/>
        <w:color w:val="121746"/>
        <w:lang w:eastAsia="en-GB"/>
      </w:rPr>
    </w:pPr>
    <w:r w:rsidRPr="003C2D26">
      <w:rPr>
        <w:rFonts w:ascii="FS Matthew Light" w:eastAsia="FS Matthew Light" w:hAnsi="FS Matthew Light" w:cs="FS Matthew Light"/>
        <w:i/>
        <w:color w:val="121746"/>
        <w:lang w:eastAsia="en-GB"/>
      </w:rPr>
      <w:t>Tide Mill Way</w:t>
    </w:r>
  </w:p>
  <w:p w14:paraId="60FC9C18" w14:textId="77777777" w:rsidR="000F793D" w:rsidRPr="003C2D26" w:rsidRDefault="000F793D" w:rsidP="00A96254">
    <w:pPr>
      <w:autoSpaceDE/>
      <w:autoSpaceDN/>
      <w:adjustRightInd/>
      <w:ind w:right="-761"/>
      <w:jc w:val="right"/>
      <w:rPr>
        <w:rFonts w:ascii="FS Matthew Light" w:eastAsia="FS Matthew Light" w:hAnsi="FS Matthew Light" w:cs="FS Matthew Light"/>
        <w:i/>
        <w:color w:val="121746"/>
        <w:lang w:eastAsia="en-GB"/>
      </w:rPr>
    </w:pPr>
    <w:r w:rsidRPr="003C2D26">
      <w:rPr>
        <w:rFonts w:ascii="FS Matthew Light" w:eastAsia="FS Matthew Light" w:hAnsi="FS Matthew Light" w:cs="FS Matthew Light"/>
        <w:i/>
        <w:color w:val="121746"/>
        <w:lang w:eastAsia="en-GB"/>
      </w:rPr>
      <w:t>Woodbridge</w:t>
    </w:r>
  </w:p>
  <w:p w14:paraId="55FD2FF1" w14:textId="77777777" w:rsidR="000F793D" w:rsidRPr="003C2D26" w:rsidRDefault="000F793D" w:rsidP="00A96254">
    <w:pPr>
      <w:autoSpaceDE/>
      <w:autoSpaceDN/>
      <w:adjustRightInd/>
      <w:ind w:right="-761"/>
      <w:jc w:val="right"/>
      <w:rPr>
        <w:rFonts w:ascii="FS Matthew Light" w:eastAsia="FS Matthew Light" w:hAnsi="FS Matthew Light" w:cs="FS Matthew Light"/>
        <w:i/>
        <w:color w:val="121746"/>
        <w:lang w:eastAsia="en-GB"/>
      </w:rPr>
    </w:pPr>
    <w:r w:rsidRPr="003C2D26">
      <w:rPr>
        <w:rFonts w:ascii="FS Matthew Light" w:eastAsia="FS Matthew Light" w:hAnsi="FS Matthew Light" w:cs="FS Matthew Light"/>
        <w:i/>
        <w:color w:val="121746"/>
        <w:lang w:eastAsia="en-GB"/>
      </w:rPr>
      <w:t>Suffolk IP12 1FP</w:t>
    </w:r>
  </w:p>
  <w:p w14:paraId="6C9A1652" w14:textId="172BA8AB" w:rsidR="003C2D26" w:rsidRPr="003C2D26" w:rsidRDefault="000F793D" w:rsidP="00A96254">
    <w:pPr>
      <w:autoSpaceDE/>
      <w:autoSpaceDN/>
      <w:adjustRightInd/>
      <w:ind w:right="-761"/>
      <w:jc w:val="right"/>
      <w:rPr>
        <w:rFonts w:ascii="FS Matthew Light" w:eastAsia="FS Matthew Light" w:hAnsi="FS Matthew Light" w:cs="FS Matthew Light"/>
        <w:b/>
        <w:i/>
        <w:color w:val="E66053"/>
        <w:lang w:eastAsia="en-GB"/>
      </w:rPr>
    </w:pPr>
    <w:r w:rsidRPr="003C2D26">
      <w:rPr>
        <w:rFonts w:ascii="FS Matthew Light" w:eastAsia="FS Matthew Light" w:hAnsi="FS Matthew Light" w:cs="FS Matthew Light"/>
        <w:b/>
        <w:i/>
        <w:color w:val="E66053"/>
        <w:lang w:eastAsia="en-GB"/>
      </w:rPr>
      <w:t>United Kingdom</w:t>
    </w:r>
  </w:p>
  <w:p w14:paraId="31985A2E" w14:textId="1FFDFC09" w:rsidR="00993C41" w:rsidRDefault="00993C41" w:rsidP="00AB6AF8">
    <w:pPr>
      <w:pStyle w:val="Header"/>
    </w:pPr>
  </w:p>
  <w:p w14:paraId="6DBAB8D0" w14:textId="77777777" w:rsidR="003C2D26" w:rsidRDefault="003C2D26" w:rsidP="00AB6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4DB3"/>
    <w:multiLevelType w:val="hybridMultilevel"/>
    <w:tmpl w:val="5148CEBE"/>
    <w:lvl w:ilvl="0" w:tplc="A1C6CAD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85E10"/>
    <w:multiLevelType w:val="hybridMultilevel"/>
    <w:tmpl w:val="B45CA7BC"/>
    <w:styleLink w:val="ImportedStyle1"/>
    <w:lvl w:ilvl="0" w:tplc="7AF0C1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6C5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468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3AD9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A8C5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20B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0AB5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D4A7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B429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AFF4BD4"/>
    <w:multiLevelType w:val="multilevel"/>
    <w:tmpl w:val="4620B1B0"/>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27031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267DBC"/>
    <w:multiLevelType w:val="hybridMultilevel"/>
    <w:tmpl w:val="BB320870"/>
    <w:styleLink w:val="ImportedStyle2"/>
    <w:lvl w:ilvl="0" w:tplc="FC6EB0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4EBC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CDF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DCF0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449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1EF0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F0E52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20F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4A4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6893938"/>
    <w:multiLevelType w:val="multilevel"/>
    <w:tmpl w:val="91C84A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754264A"/>
    <w:multiLevelType w:val="hybridMultilevel"/>
    <w:tmpl w:val="3078C16A"/>
    <w:styleLink w:val="Bullet"/>
    <w:lvl w:ilvl="0" w:tplc="9DBEF012">
      <w:start w:val="1"/>
      <w:numFmt w:val="bullet"/>
      <w:lvlText w:val="•"/>
      <w:lvlJc w:val="left"/>
      <w:pPr>
        <w:ind w:left="196" w:hanging="19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3C232EA">
      <w:start w:val="1"/>
      <w:numFmt w:val="bullet"/>
      <w:lvlText w:val="•"/>
      <w:lvlJc w:val="left"/>
      <w:pPr>
        <w:ind w:left="360" w:hanging="180"/>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B6E274AA">
      <w:start w:val="1"/>
      <w:numFmt w:val="bullet"/>
      <w:lvlText w:val="•"/>
      <w:lvlJc w:val="left"/>
      <w:pPr>
        <w:ind w:left="5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D9E2E60">
      <w:start w:val="1"/>
      <w:numFmt w:val="bullet"/>
      <w:lvlText w:val="•"/>
      <w:lvlJc w:val="left"/>
      <w:pPr>
        <w:ind w:left="7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961AEDB4">
      <w:start w:val="1"/>
      <w:numFmt w:val="bullet"/>
      <w:lvlText w:val="•"/>
      <w:lvlJc w:val="left"/>
      <w:pPr>
        <w:ind w:left="91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D8F60D38">
      <w:start w:val="1"/>
      <w:numFmt w:val="bullet"/>
      <w:lvlText w:val="•"/>
      <w:lvlJc w:val="left"/>
      <w:pPr>
        <w:ind w:left="109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9D5EAB2A">
      <w:start w:val="1"/>
      <w:numFmt w:val="bullet"/>
      <w:lvlText w:val="•"/>
      <w:lvlJc w:val="left"/>
      <w:pPr>
        <w:ind w:left="127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050CE2FA">
      <w:start w:val="1"/>
      <w:numFmt w:val="bullet"/>
      <w:lvlText w:val="•"/>
      <w:lvlJc w:val="left"/>
      <w:pPr>
        <w:ind w:left="145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31422214">
      <w:start w:val="1"/>
      <w:numFmt w:val="bullet"/>
      <w:lvlText w:val="•"/>
      <w:lvlJc w:val="left"/>
      <w:pPr>
        <w:ind w:left="1636" w:hanging="19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87456F3"/>
    <w:multiLevelType w:val="multilevel"/>
    <w:tmpl w:val="CBECA910"/>
    <w:lvl w:ilvl="0">
      <w:start w:val="1"/>
      <w:numFmt w:val="decimal"/>
      <w:pStyle w:val="Heading1"/>
      <w:lvlText w:val="%1"/>
      <w:lvlJc w:val="left"/>
      <w:pPr>
        <w:ind w:left="432" w:hanging="432"/>
      </w:pPr>
      <w:rPr>
        <w:rFonts w:ascii="Calibri" w:hAnsi="Calibri" w:cs="Calibri"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529A19CA"/>
    <w:multiLevelType w:val="multilevel"/>
    <w:tmpl w:val="33B63BB6"/>
    <w:lvl w:ilvl="0">
      <w:start w:val="2"/>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672" w:hanging="108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4896" w:hanging="1440"/>
      </w:pPr>
      <w:rPr>
        <w:rFonts w:hint="default"/>
      </w:rPr>
    </w:lvl>
  </w:abstractNum>
  <w:abstractNum w:abstractNumId="9" w15:restartNumberingAfterBreak="0">
    <w:nsid w:val="538A1CDE"/>
    <w:multiLevelType w:val="hybridMultilevel"/>
    <w:tmpl w:val="700E6572"/>
    <w:lvl w:ilvl="0" w:tplc="EBD8767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3B7B3F"/>
    <w:multiLevelType w:val="hybridMultilevel"/>
    <w:tmpl w:val="B45CA7BC"/>
    <w:numStyleLink w:val="ImportedStyle1"/>
  </w:abstractNum>
  <w:abstractNum w:abstractNumId="11" w15:restartNumberingAfterBreak="0">
    <w:nsid w:val="558F1A9D"/>
    <w:multiLevelType w:val="multilevel"/>
    <w:tmpl w:val="E7E855D8"/>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DC2323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3A50103"/>
    <w:multiLevelType w:val="hybridMultilevel"/>
    <w:tmpl w:val="3078C16A"/>
    <w:numStyleLink w:val="Bullet"/>
  </w:abstractNum>
  <w:abstractNum w:abstractNumId="14" w15:restartNumberingAfterBreak="0">
    <w:nsid w:val="6693724E"/>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B2C544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0B35B71"/>
    <w:multiLevelType w:val="multilevel"/>
    <w:tmpl w:val="76260682"/>
    <w:lvl w:ilvl="0">
      <w:start w:val="1"/>
      <w:numFmt w:val="decimal"/>
      <w:lvlText w:val="%1"/>
      <w:lvlJc w:val="left"/>
      <w:pPr>
        <w:ind w:left="432" w:hanging="432"/>
      </w:pPr>
    </w:lvl>
    <w:lvl w:ilvl="1">
      <w:start w:val="1"/>
      <w:numFmt w:val="decimal"/>
      <w:lvlText w:val="%1.%2"/>
      <w:lvlJc w:val="left"/>
      <w:pPr>
        <w:ind w:left="718" w:hanging="576"/>
      </w:pPr>
      <w:rPr>
        <w:b/>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1651045"/>
    <w:multiLevelType w:val="hybridMultilevel"/>
    <w:tmpl w:val="BB320870"/>
    <w:numStyleLink w:val="ImportedStyle2"/>
  </w:abstractNum>
  <w:num w:numId="1">
    <w:abstractNumId w:val="6"/>
  </w:num>
  <w:num w:numId="2">
    <w:abstractNumId w:val="13"/>
  </w:num>
  <w:num w:numId="3">
    <w:abstractNumId w:val="1"/>
  </w:num>
  <w:num w:numId="4">
    <w:abstractNumId w:val="10"/>
  </w:num>
  <w:num w:numId="5">
    <w:abstractNumId w:val="4"/>
  </w:num>
  <w:num w:numId="6">
    <w:abstractNumId w:val="17"/>
  </w:num>
  <w:num w:numId="7">
    <w:abstractNumId w:val="2"/>
  </w:num>
  <w:num w:numId="8">
    <w:abstractNumId w:val="2"/>
  </w:num>
  <w:num w:numId="9">
    <w:abstractNumId w:val="3"/>
  </w:num>
  <w:num w:numId="10">
    <w:abstractNumId w:val="11"/>
  </w:num>
  <w:num w:numId="11">
    <w:abstractNumId w:val="16"/>
  </w:num>
  <w:num w:numId="12">
    <w:abstractNumId w:val="7"/>
  </w:num>
  <w:num w:numId="13">
    <w:abstractNumId w:val="9"/>
  </w:num>
  <w:num w:numId="14">
    <w:abstractNumId w:val="0"/>
  </w:num>
  <w:num w:numId="15">
    <w:abstractNumId w:val="12"/>
  </w:num>
  <w:num w:numId="16">
    <w:abstractNumId w:val="14"/>
  </w:num>
  <w:num w:numId="17">
    <w:abstractNumId w:val="8"/>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F9A"/>
    <w:rsid w:val="00007464"/>
    <w:rsid w:val="00010091"/>
    <w:rsid w:val="0001280B"/>
    <w:rsid w:val="00012A6C"/>
    <w:rsid w:val="00013691"/>
    <w:rsid w:val="00016AF5"/>
    <w:rsid w:val="0002523E"/>
    <w:rsid w:val="0002631F"/>
    <w:rsid w:val="0002759C"/>
    <w:rsid w:val="00033C49"/>
    <w:rsid w:val="00033CB7"/>
    <w:rsid w:val="00035FC4"/>
    <w:rsid w:val="000465E8"/>
    <w:rsid w:val="00057F0C"/>
    <w:rsid w:val="00061A7A"/>
    <w:rsid w:val="00064994"/>
    <w:rsid w:val="00076FEA"/>
    <w:rsid w:val="0008222D"/>
    <w:rsid w:val="0008409A"/>
    <w:rsid w:val="00086AA2"/>
    <w:rsid w:val="000926CE"/>
    <w:rsid w:val="00092AD5"/>
    <w:rsid w:val="000977E8"/>
    <w:rsid w:val="000B6173"/>
    <w:rsid w:val="000B69D2"/>
    <w:rsid w:val="000C4665"/>
    <w:rsid w:val="000C5AB6"/>
    <w:rsid w:val="000C71C8"/>
    <w:rsid w:val="000D0335"/>
    <w:rsid w:val="000E142C"/>
    <w:rsid w:val="000E30A3"/>
    <w:rsid w:val="000E68FC"/>
    <w:rsid w:val="000E74DF"/>
    <w:rsid w:val="000F2BA6"/>
    <w:rsid w:val="000F6728"/>
    <w:rsid w:val="000F7737"/>
    <w:rsid w:val="000F793D"/>
    <w:rsid w:val="0010278E"/>
    <w:rsid w:val="00104A3D"/>
    <w:rsid w:val="00106619"/>
    <w:rsid w:val="00110809"/>
    <w:rsid w:val="00110A25"/>
    <w:rsid w:val="0011327F"/>
    <w:rsid w:val="00116BA6"/>
    <w:rsid w:val="00130670"/>
    <w:rsid w:val="00132A1E"/>
    <w:rsid w:val="00132D2E"/>
    <w:rsid w:val="00134991"/>
    <w:rsid w:val="00141D6C"/>
    <w:rsid w:val="00147AE3"/>
    <w:rsid w:val="00160131"/>
    <w:rsid w:val="00170A89"/>
    <w:rsid w:val="00171F52"/>
    <w:rsid w:val="00177E1C"/>
    <w:rsid w:val="00185D7E"/>
    <w:rsid w:val="001B31ED"/>
    <w:rsid w:val="001B39D0"/>
    <w:rsid w:val="001B63DE"/>
    <w:rsid w:val="001B6611"/>
    <w:rsid w:val="001B7CE4"/>
    <w:rsid w:val="001C2E2E"/>
    <w:rsid w:val="001C3490"/>
    <w:rsid w:val="001C3FCA"/>
    <w:rsid w:val="001C4415"/>
    <w:rsid w:val="001D0D5C"/>
    <w:rsid w:val="001D3348"/>
    <w:rsid w:val="001D554D"/>
    <w:rsid w:val="001E4093"/>
    <w:rsid w:val="001F02FB"/>
    <w:rsid w:val="001F1D73"/>
    <w:rsid w:val="001F3A07"/>
    <w:rsid w:val="002058B7"/>
    <w:rsid w:val="00223DEE"/>
    <w:rsid w:val="002313F4"/>
    <w:rsid w:val="00231DE0"/>
    <w:rsid w:val="00233C98"/>
    <w:rsid w:val="00235729"/>
    <w:rsid w:val="00240FE7"/>
    <w:rsid w:val="00241977"/>
    <w:rsid w:val="00242479"/>
    <w:rsid w:val="00244EDA"/>
    <w:rsid w:val="00252891"/>
    <w:rsid w:val="00256DE2"/>
    <w:rsid w:val="00257585"/>
    <w:rsid w:val="00262D22"/>
    <w:rsid w:val="002666B6"/>
    <w:rsid w:val="00271003"/>
    <w:rsid w:val="00271922"/>
    <w:rsid w:val="002735C4"/>
    <w:rsid w:val="00273EF8"/>
    <w:rsid w:val="00274AEF"/>
    <w:rsid w:val="00281971"/>
    <w:rsid w:val="002825EA"/>
    <w:rsid w:val="00294118"/>
    <w:rsid w:val="002959D1"/>
    <w:rsid w:val="002A480D"/>
    <w:rsid w:val="002A5F07"/>
    <w:rsid w:val="002B0A38"/>
    <w:rsid w:val="002B6616"/>
    <w:rsid w:val="002B67D1"/>
    <w:rsid w:val="002C0824"/>
    <w:rsid w:val="002C3095"/>
    <w:rsid w:val="002C3CA0"/>
    <w:rsid w:val="002D423C"/>
    <w:rsid w:val="002D6399"/>
    <w:rsid w:val="002D6476"/>
    <w:rsid w:val="002E4B58"/>
    <w:rsid w:val="002E5F33"/>
    <w:rsid w:val="002F1159"/>
    <w:rsid w:val="00307539"/>
    <w:rsid w:val="00311165"/>
    <w:rsid w:val="003112A3"/>
    <w:rsid w:val="00331C47"/>
    <w:rsid w:val="003337F7"/>
    <w:rsid w:val="0034259D"/>
    <w:rsid w:val="00350958"/>
    <w:rsid w:val="00351CA6"/>
    <w:rsid w:val="00362774"/>
    <w:rsid w:val="003648D2"/>
    <w:rsid w:val="00366F1E"/>
    <w:rsid w:val="0038100A"/>
    <w:rsid w:val="00382487"/>
    <w:rsid w:val="003948B4"/>
    <w:rsid w:val="003A0254"/>
    <w:rsid w:val="003A73D3"/>
    <w:rsid w:val="003B0BC4"/>
    <w:rsid w:val="003B1D98"/>
    <w:rsid w:val="003B4BAA"/>
    <w:rsid w:val="003B696A"/>
    <w:rsid w:val="003C2D26"/>
    <w:rsid w:val="003C6B92"/>
    <w:rsid w:val="003C742A"/>
    <w:rsid w:val="003D56C1"/>
    <w:rsid w:val="003E2164"/>
    <w:rsid w:val="003E2EA6"/>
    <w:rsid w:val="003E38B6"/>
    <w:rsid w:val="003E70EC"/>
    <w:rsid w:val="003F131B"/>
    <w:rsid w:val="003F592A"/>
    <w:rsid w:val="00411283"/>
    <w:rsid w:val="00424E24"/>
    <w:rsid w:val="00426942"/>
    <w:rsid w:val="00440C83"/>
    <w:rsid w:val="00442797"/>
    <w:rsid w:val="00447049"/>
    <w:rsid w:val="00451A88"/>
    <w:rsid w:val="0045394B"/>
    <w:rsid w:val="004672E9"/>
    <w:rsid w:val="004707A2"/>
    <w:rsid w:val="0047460A"/>
    <w:rsid w:val="00474610"/>
    <w:rsid w:val="00482DBE"/>
    <w:rsid w:val="00484579"/>
    <w:rsid w:val="00491793"/>
    <w:rsid w:val="00495814"/>
    <w:rsid w:val="004A0C98"/>
    <w:rsid w:val="004A7DE6"/>
    <w:rsid w:val="004B2B8F"/>
    <w:rsid w:val="004C06EE"/>
    <w:rsid w:val="004D1DED"/>
    <w:rsid w:val="004F7A59"/>
    <w:rsid w:val="005013D8"/>
    <w:rsid w:val="00503807"/>
    <w:rsid w:val="00505C87"/>
    <w:rsid w:val="005066DD"/>
    <w:rsid w:val="00513274"/>
    <w:rsid w:val="005175B0"/>
    <w:rsid w:val="00526BFC"/>
    <w:rsid w:val="005561DE"/>
    <w:rsid w:val="005707D6"/>
    <w:rsid w:val="00577FEC"/>
    <w:rsid w:val="005818B2"/>
    <w:rsid w:val="005822BD"/>
    <w:rsid w:val="00591673"/>
    <w:rsid w:val="00591BEC"/>
    <w:rsid w:val="00595F43"/>
    <w:rsid w:val="005967AD"/>
    <w:rsid w:val="005A7421"/>
    <w:rsid w:val="005C38DE"/>
    <w:rsid w:val="005C3EA9"/>
    <w:rsid w:val="005C5EE2"/>
    <w:rsid w:val="005D7728"/>
    <w:rsid w:val="005E24AC"/>
    <w:rsid w:val="005E3D01"/>
    <w:rsid w:val="005F3BC6"/>
    <w:rsid w:val="005F546A"/>
    <w:rsid w:val="005F5683"/>
    <w:rsid w:val="00600C52"/>
    <w:rsid w:val="006036C4"/>
    <w:rsid w:val="006107B8"/>
    <w:rsid w:val="006121A0"/>
    <w:rsid w:val="006127E9"/>
    <w:rsid w:val="00617015"/>
    <w:rsid w:val="00625018"/>
    <w:rsid w:val="0062708A"/>
    <w:rsid w:val="00633893"/>
    <w:rsid w:val="00645DA6"/>
    <w:rsid w:val="0066416C"/>
    <w:rsid w:val="00664FC9"/>
    <w:rsid w:val="00670CA8"/>
    <w:rsid w:val="006727CD"/>
    <w:rsid w:val="0067547F"/>
    <w:rsid w:val="006765BD"/>
    <w:rsid w:val="006803B2"/>
    <w:rsid w:val="00681030"/>
    <w:rsid w:val="00683210"/>
    <w:rsid w:val="00686095"/>
    <w:rsid w:val="00687026"/>
    <w:rsid w:val="006978A3"/>
    <w:rsid w:val="00697E92"/>
    <w:rsid w:val="006A0F8C"/>
    <w:rsid w:val="006B33D2"/>
    <w:rsid w:val="006B4F9A"/>
    <w:rsid w:val="006D4985"/>
    <w:rsid w:val="006E686B"/>
    <w:rsid w:val="006F2BC4"/>
    <w:rsid w:val="006F4B1C"/>
    <w:rsid w:val="00704336"/>
    <w:rsid w:val="00717C0A"/>
    <w:rsid w:val="00732CF6"/>
    <w:rsid w:val="007331CE"/>
    <w:rsid w:val="0073514C"/>
    <w:rsid w:val="00736BE8"/>
    <w:rsid w:val="00741A0F"/>
    <w:rsid w:val="00741A42"/>
    <w:rsid w:val="00756961"/>
    <w:rsid w:val="00756A80"/>
    <w:rsid w:val="00757F75"/>
    <w:rsid w:val="0076691C"/>
    <w:rsid w:val="00766C92"/>
    <w:rsid w:val="00773AEE"/>
    <w:rsid w:val="00774ED0"/>
    <w:rsid w:val="00776C8E"/>
    <w:rsid w:val="0079523D"/>
    <w:rsid w:val="007A2E83"/>
    <w:rsid w:val="007B0AC2"/>
    <w:rsid w:val="007B59F0"/>
    <w:rsid w:val="007C0740"/>
    <w:rsid w:val="007D0A1B"/>
    <w:rsid w:val="007D4524"/>
    <w:rsid w:val="007E0FE3"/>
    <w:rsid w:val="007E1939"/>
    <w:rsid w:val="007F253D"/>
    <w:rsid w:val="007F4567"/>
    <w:rsid w:val="0080705B"/>
    <w:rsid w:val="00814BC9"/>
    <w:rsid w:val="0081678A"/>
    <w:rsid w:val="0082756E"/>
    <w:rsid w:val="0083077E"/>
    <w:rsid w:val="008334AB"/>
    <w:rsid w:val="008366D8"/>
    <w:rsid w:val="0084455B"/>
    <w:rsid w:val="008458B6"/>
    <w:rsid w:val="0085206B"/>
    <w:rsid w:val="0085228F"/>
    <w:rsid w:val="008601D2"/>
    <w:rsid w:val="00871024"/>
    <w:rsid w:val="00871F2B"/>
    <w:rsid w:val="008758A5"/>
    <w:rsid w:val="008819C1"/>
    <w:rsid w:val="00890E21"/>
    <w:rsid w:val="00891E48"/>
    <w:rsid w:val="008925DD"/>
    <w:rsid w:val="008934EA"/>
    <w:rsid w:val="008A1B9C"/>
    <w:rsid w:val="008A282B"/>
    <w:rsid w:val="008A410E"/>
    <w:rsid w:val="008A5893"/>
    <w:rsid w:val="008B04E4"/>
    <w:rsid w:val="008B0D98"/>
    <w:rsid w:val="008B1FAC"/>
    <w:rsid w:val="008B6845"/>
    <w:rsid w:val="008B7D56"/>
    <w:rsid w:val="008C0558"/>
    <w:rsid w:val="008C187C"/>
    <w:rsid w:val="008C19F8"/>
    <w:rsid w:val="008C2663"/>
    <w:rsid w:val="008C62AE"/>
    <w:rsid w:val="008C71D0"/>
    <w:rsid w:val="008D230C"/>
    <w:rsid w:val="008D2699"/>
    <w:rsid w:val="008F1447"/>
    <w:rsid w:val="008F619F"/>
    <w:rsid w:val="00904924"/>
    <w:rsid w:val="0091399A"/>
    <w:rsid w:val="009141E9"/>
    <w:rsid w:val="009166C4"/>
    <w:rsid w:val="00920594"/>
    <w:rsid w:val="00923FC4"/>
    <w:rsid w:val="00930501"/>
    <w:rsid w:val="00945AE0"/>
    <w:rsid w:val="00946DF9"/>
    <w:rsid w:val="00950B87"/>
    <w:rsid w:val="00953908"/>
    <w:rsid w:val="00953EAA"/>
    <w:rsid w:val="0095442F"/>
    <w:rsid w:val="00954C90"/>
    <w:rsid w:val="00957071"/>
    <w:rsid w:val="00970480"/>
    <w:rsid w:val="009906D7"/>
    <w:rsid w:val="00991E94"/>
    <w:rsid w:val="00993C41"/>
    <w:rsid w:val="009955BA"/>
    <w:rsid w:val="009A1932"/>
    <w:rsid w:val="009A31D1"/>
    <w:rsid w:val="009A79B0"/>
    <w:rsid w:val="009A7EB9"/>
    <w:rsid w:val="009B415A"/>
    <w:rsid w:val="009C1581"/>
    <w:rsid w:val="009C5DEC"/>
    <w:rsid w:val="009C724B"/>
    <w:rsid w:val="009D53DF"/>
    <w:rsid w:val="009D62CE"/>
    <w:rsid w:val="009D6EDE"/>
    <w:rsid w:val="009E4B94"/>
    <w:rsid w:val="009F174A"/>
    <w:rsid w:val="009F1FFC"/>
    <w:rsid w:val="009F3F26"/>
    <w:rsid w:val="009F4442"/>
    <w:rsid w:val="00A01884"/>
    <w:rsid w:val="00A02105"/>
    <w:rsid w:val="00A123E9"/>
    <w:rsid w:val="00A14B97"/>
    <w:rsid w:val="00A211C5"/>
    <w:rsid w:val="00A2247E"/>
    <w:rsid w:val="00A238C0"/>
    <w:rsid w:val="00A25861"/>
    <w:rsid w:val="00A25F8D"/>
    <w:rsid w:val="00A3091F"/>
    <w:rsid w:val="00A31BDE"/>
    <w:rsid w:val="00A3228F"/>
    <w:rsid w:val="00A33741"/>
    <w:rsid w:val="00A33EC1"/>
    <w:rsid w:val="00A436C9"/>
    <w:rsid w:val="00A52737"/>
    <w:rsid w:val="00A5496D"/>
    <w:rsid w:val="00A56FAA"/>
    <w:rsid w:val="00A64E39"/>
    <w:rsid w:val="00A65304"/>
    <w:rsid w:val="00A70D70"/>
    <w:rsid w:val="00A775CC"/>
    <w:rsid w:val="00A803CC"/>
    <w:rsid w:val="00A839C9"/>
    <w:rsid w:val="00A83F25"/>
    <w:rsid w:val="00A96254"/>
    <w:rsid w:val="00AA0D33"/>
    <w:rsid w:val="00AA7BE5"/>
    <w:rsid w:val="00AB11E6"/>
    <w:rsid w:val="00AB45EB"/>
    <w:rsid w:val="00AB6AF8"/>
    <w:rsid w:val="00AC6AAD"/>
    <w:rsid w:val="00AD5834"/>
    <w:rsid w:val="00AE2CD6"/>
    <w:rsid w:val="00AF0B3C"/>
    <w:rsid w:val="00AF52E7"/>
    <w:rsid w:val="00B004CB"/>
    <w:rsid w:val="00B0310F"/>
    <w:rsid w:val="00B11F98"/>
    <w:rsid w:val="00B12059"/>
    <w:rsid w:val="00B1698C"/>
    <w:rsid w:val="00B275EC"/>
    <w:rsid w:val="00B32DD0"/>
    <w:rsid w:val="00B32DF5"/>
    <w:rsid w:val="00B33705"/>
    <w:rsid w:val="00B33FE5"/>
    <w:rsid w:val="00B40ABA"/>
    <w:rsid w:val="00B44F54"/>
    <w:rsid w:val="00B66417"/>
    <w:rsid w:val="00B82DC8"/>
    <w:rsid w:val="00B845D3"/>
    <w:rsid w:val="00B9732C"/>
    <w:rsid w:val="00BA15CB"/>
    <w:rsid w:val="00BA16C2"/>
    <w:rsid w:val="00BA6533"/>
    <w:rsid w:val="00BA7E7E"/>
    <w:rsid w:val="00BB2054"/>
    <w:rsid w:val="00BB5D86"/>
    <w:rsid w:val="00BC425D"/>
    <w:rsid w:val="00BC4D2B"/>
    <w:rsid w:val="00BD05E0"/>
    <w:rsid w:val="00BD60F4"/>
    <w:rsid w:val="00BE5570"/>
    <w:rsid w:val="00BF2986"/>
    <w:rsid w:val="00BF62D5"/>
    <w:rsid w:val="00C10BF8"/>
    <w:rsid w:val="00C1360E"/>
    <w:rsid w:val="00C21F9F"/>
    <w:rsid w:val="00C25CB2"/>
    <w:rsid w:val="00C30EDB"/>
    <w:rsid w:val="00C33C6D"/>
    <w:rsid w:val="00C504F1"/>
    <w:rsid w:val="00C5559A"/>
    <w:rsid w:val="00C60921"/>
    <w:rsid w:val="00C655F4"/>
    <w:rsid w:val="00C713E2"/>
    <w:rsid w:val="00C719CF"/>
    <w:rsid w:val="00C73899"/>
    <w:rsid w:val="00C73EC1"/>
    <w:rsid w:val="00C76F49"/>
    <w:rsid w:val="00C778E0"/>
    <w:rsid w:val="00C77B2E"/>
    <w:rsid w:val="00C81720"/>
    <w:rsid w:val="00C861AC"/>
    <w:rsid w:val="00C86781"/>
    <w:rsid w:val="00C86BBE"/>
    <w:rsid w:val="00C87AF9"/>
    <w:rsid w:val="00C9236A"/>
    <w:rsid w:val="00C94291"/>
    <w:rsid w:val="00C94363"/>
    <w:rsid w:val="00CA288A"/>
    <w:rsid w:val="00CB5993"/>
    <w:rsid w:val="00CC2D9D"/>
    <w:rsid w:val="00CC5CD9"/>
    <w:rsid w:val="00CC73A1"/>
    <w:rsid w:val="00CD02FA"/>
    <w:rsid w:val="00CD0931"/>
    <w:rsid w:val="00CD511C"/>
    <w:rsid w:val="00CD7734"/>
    <w:rsid w:val="00CD7762"/>
    <w:rsid w:val="00CE2C23"/>
    <w:rsid w:val="00CF0437"/>
    <w:rsid w:val="00D0372E"/>
    <w:rsid w:val="00D17305"/>
    <w:rsid w:val="00D17BB3"/>
    <w:rsid w:val="00D24599"/>
    <w:rsid w:val="00D3792D"/>
    <w:rsid w:val="00D404EC"/>
    <w:rsid w:val="00D4412E"/>
    <w:rsid w:val="00D50913"/>
    <w:rsid w:val="00D551B6"/>
    <w:rsid w:val="00D63232"/>
    <w:rsid w:val="00D678E9"/>
    <w:rsid w:val="00D70131"/>
    <w:rsid w:val="00D7073A"/>
    <w:rsid w:val="00D74B75"/>
    <w:rsid w:val="00D81CB6"/>
    <w:rsid w:val="00D87254"/>
    <w:rsid w:val="00D900C0"/>
    <w:rsid w:val="00D919BE"/>
    <w:rsid w:val="00D958F9"/>
    <w:rsid w:val="00D95C6F"/>
    <w:rsid w:val="00DB2802"/>
    <w:rsid w:val="00DB2C30"/>
    <w:rsid w:val="00DB3E01"/>
    <w:rsid w:val="00DC0B9B"/>
    <w:rsid w:val="00DC2483"/>
    <w:rsid w:val="00DC7425"/>
    <w:rsid w:val="00DC7ECE"/>
    <w:rsid w:val="00DD41A8"/>
    <w:rsid w:val="00DD5205"/>
    <w:rsid w:val="00DD61DD"/>
    <w:rsid w:val="00DD651E"/>
    <w:rsid w:val="00DD76BB"/>
    <w:rsid w:val="00DF1472"/>
    <w:rsid w:val="00DF4D64"/>
    <w:rsid w:val="00DF52E9"/>
    <w:rsid w:val="00E03422"/>
    <w:rsid w:val="00E05906"/>
    <w:rsid w:val="00E060BE"/>
    <w:rsid w:val="00E1474E"/>
    <w:rsid w:val="00E14F03"/>
    <w:rsid w:val="00E3420A"/>
    <w:rsid w:val="00E37F2F"/>
    <w:rsid w:val="00E40B6A"/>
    <w:rsid w:val="00E40F13"/>
    <w:rsid w:val="00E53AC3"/>
    <w:rsid w:val="00E55D74"/>
    <w:rsid w:val="00E57C34"/>
    <w:rsid w:val="00E62077"/>
    <w:rsid w:val="00E626A4"/>
    <w:rsid w:val="00E63C8D"/>
    <w:rsid w:val="00E6457A"/>
    <w:rsid w:val="00E718F3"/>
    <w:rsid w:val="00E71D80"/>
    <w:rsid w:val="00E72D18"/>
    <w:rsid w:val="00E90F65"/>
    <w:rsid w:val="00E91DDD"/>
    <w:rsid w:val="00E94F83"/>
    <w:rsid w:val="00EA08C9"/>
    <w:rsid w:val="00EA3EB7"/>
    <w:rsid w:val="00EB0E4A"/>
    <w:rsid w:val="00EB1BF1"/>
    <w:rsid w:val="00EB3BC5"/>
    <w:rsid w:val="00EB4EB5"/>
    <w:rsid w:val="00EC5988"/>
    <w:rsid w:val="00ED0122"/>
    <w:rsid w:val="00ED013C"/>
    <w:rsid w:val="00ED5255"/>
    <w:rsid w:val="00ED6646"/>
    <w:rsid w:val="00EE6B57"/>
    <w:rsid w:val="00EE7006"/>
    <w:rsid w:val="00EF1646"/>
    <w:rsid w:val="00EF168A"/>
    <w:rsid w:val="00EF5037"/>
    <w:rsid w:val="00EF527F"/>
    <w:rsid w:val="00F031D1"/>
    <w:rsid w:val="00F07F5C"/>
    <w:rsid w:val="00F12896"/>
    <w:rsid w:val="00F17538"/>
    <w:rsid w:val="00F17907"/>
    <w:rsid w:val="00F273E2"/>
    <w:rsid w:val="00F273EE"/>
    <w:rsid w:val="00F402EC"/>
    <w:rsid w:val="00F45E00"/>
    <w:rsid w:val="00F466DB"/>
    <w:rsid w:val="00F47AE1"/>
    <w:rsid w:val="00F501C2"/>
    <w:rsid w:val="00F515CE"/>
    <w:rsid w:val="00F53639"/>
    <w:rsid w:val="00F537D5"/>
    <w:rsid w:val="00F55EBA"/>
    <w:rsid w:val="00F660AD"/>
    <w:rsid w:val="00F67295"/>
    <w:rsid w:val="00F67547"/>
    <w:rsid w:val="00F70903"/>
    <w:rsid w:val="00F7216C"/>
    <w:rsid w:val="00F72F10"/>
    <w:rsid w:val="00F87FA0"/>
    <w:rsid w:val="00F933CF"/>
    <w:rsid w:val="00F95733"/>
    <w:rsid w:val="00F965FD"/>
    <w:rsid w:val="00F97912"/>
    <w:rsid w:val="00F97DA7"/>
    <w:rsid w:val="00FA1AF2"/>
    <w:rsid w:val="00FB3F47"/>
    <w:rsid w:val="00FB6471"/>
    <w:rsid w:val="00FC3CA5"/>
    <w:rsid w:val="00FC612F"/>
    <w:rsid w:val="00FE021D"/>
    <w:rsid w:val="00FE38D7"/>
    <w:rsid w:val="00FF104D"/>
    <w:rsid w:val="00FF2986"/>
    <w:rsid w:val="00FF419F"/>
    <w:rsid w:val="00FF4AE2"/>
    <w:rsid w:val="00FF7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BCC96CD"/>
  <w15:docId w15:val="{3D92F5AF-1EA2-F644-9B0A-41C57A141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AF8"/>
    <w:pPr>
      <w:autoSpaceDE w:val="0"/>
      <w:autoSpaceDN w:val="0"/>
      <w:adjustRightInd w:val="0"/>
      <w:spacing w:after="0" w:line="240" w:lineRule="auto"/>
    </w:pPr>
    <w:rPr>
      <w:rFonts w:ascii="Calibri" w:hAnsi="Calibri" w:cs="Calibri"/>
      <w:sz w:val="20"/>
      <w:szCs w:val="20"/>
    </w:rPr>
  </w:style>
  <w:style w:type="paragraph" w:styleId="Heading1">
    <w:name w:val="heading 1"/>
    <w:basedOn w:val="Normal"/>
    <w:next w:val="Normal"/>
    <w:link w:val="Heading1Char"/>
    <w:uiPriority w:val="9"/>
    <w:qFormat/>
    <w:rsid w:val="00D958F9"/>
    <w:pPr>
      <w:keepNext/>
      <w:keepLines/>
      <w:numPr>
        <w:numId w:val="12"/>
      </w:numPr>
      <w:spacing w:before="240"/>
      <w:outlineLvl w:val="0"/>
    </w:pPr>
    <w:rPr>
      <w:rFonts w:eastAsiaTheme="majorEastAsia" w:cstheme="majorBidi"/>
      <w:b/>
      <w:bCs/>
      <w:szCs w:val="32"/>
    </w:rPr>
  </w:style>
  <w:style w:type="paragraph" w:styleId="Heading2">
    <w:name w:val="heading 2"/>
    <w:basedOn w:val="ListParagraph"/>
    <w:next w:val="Normal"/>
    <w:link w:val="Heading2Char"/>
    <w:uiPriority w:val="9"/>
    <w:unhideWhenUsed/>
    <w:qFormat/>
    <w:rsid w:val="00007464"/>
    <w:pPr>
      <w:numPr>
        <w:ilvl w:val="1"/>
        <w:numId w:val="12"/>
      </w:numPr>
      <w:outlineLvl w:val="1"/>
    </w:pPr>
    <w:rPr>
      <w:b/>
      <w:bCs/>
    </w:rPr>
  </w:style>
  <w:style w:type="paragraph" w:styleId="Heading3">
    <w:name w:val="heading 3"/>
    <w:basedOn w:val="Normal"/>
    <w:next w:val="Normal"/>
    <w:link w:val="Heading3Char"/>
    <w:uiPriority w:val="9"/>
    <w:semiHidden/>
    <w:unhideWhenUsed/>
    <w:qFormat/>
    <w:rsid w:val="00016AF5"/>
    <w:pPr>
      <w:keepNext/>
      <w:keepLines/>
      <w:numPr>
        <w:ilvl w:val="2"/>
        <w:numId w:val="12"/>
      </w:numPr>
      <w:spacing w:before="40"/>
      <w:outlineLvl w:val="2"/>
    </w:pPr>
    <w:rPr>
      <w:rFonts w:asciiTheme="majorHAnsi" w:eastAsiaTheme="majorEastAsia" w:hAnsiTheme="majorHAnsi" w:cstheme="majorBidi"/>
      <w:color w:val="1F4E69" w:themeColor="accent1" w:themeShade="7F"/>
      <w:sz w:val="24"/>
      <w:szCs w:val="24"/>
    </w:rPr>
  </w:style>
  <w:style w:type="paragraph" w:styleId="Heading4">
    <w:name w:val="heading 4"/>
    <w:basedOn w:val="Normal"/>
    <w:next w:val="Normal"/>
    <w:link w:val="Heading4Char"/>
    <w:uiPriority w:val="9"/>
    <w:semiHidden/>
    <w:unhideWhenUsed/>
    <w:qFormat/>
    <w:rsid w:val="00016AF5"/>
    <w:pPr>
      <w:keepNext/>
      <w:keepLines/>
      <w:numPr>
        <w:ilvl w:val="3"/>
        <w:numId w:val="12"/>
      </w:numPr>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016AF5"/>
    <w:pPr>
      <w:keepNext/>
      <w:keepLines/>
      <w:numPr>
        <w:ilvl w:val="4"/>
        <w:numId w:val="12"/>
      </w:numPr>
      <w:spacing w:before="4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016AF5"/>
    <w:pPr>
      <w:keepNext/>
      <w:keepLines/>
      <w:numPr>
        <w:ilvl w:val="5"/>
        <w:numId w:val="12"/>
      </w:numPr>
      <w:spacing w:before="4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016AF5"/>
    <w:pPr>
      <w:keepNext/>
      <w:keepLines/>
      <w:numPr>
        <w:ilvl w:val="6"/>
        <w:numId w:val="12"/>
      </w:numPr>
      <w:spacing w:before="4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016AF5"/>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6AF5"/>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rPr>
  </w:style>
  <w:style w:type="paragraph" w:customStyle="1" w:styleId="HeaderFooterAA">
    <w:name w:val="Header &amp; Footer A A"/>
    <w:pPr>
      <w:tabs>
        <w:tab w:val="right" w:pos="9020"/>
      </w:tabs>
    </w:pPr>
    <w:rPr>
      <w:rFonts w:ascii="Helvetica" w:eastAsia="Helvetica" w:hAnsi="Helvetica" w:cs="Helvetica"/>
      <w:color w:val="000000"/>
      <w:sz w:val="24"/>
      <w:szCs w:val="24"/>
      <w:u w:color="000000"/>
      <w:lang w:val="en-US"/>
    </w:rPr>
  </w:style>
  <w:style w:type="paragraph" w:customStyle="1" w:styleId="Default">
    <w:name w:val="Default"/>
    <w:rPr>
      <w:rFonts w:ascii="Helvetica" w:eastAsia="Helvetica" w:hAnsi="Helvetica" w:cs="Helvetica"/>
      <w:color w:val="000000"/>
      <w:u w:color="000000"/>
      <w:lang w:val="en-US"/>
    </w:rPr>
  </w:style>
  <w:style w:type="numbering" w:customStyle="1" w:styleId="Bullet">
    <w:name w:val="Bullet"/>
    <w:pPr>
      <w:numPr>
        <w:numId w:val="1"/>
      </w:numPr>
    </w:pPr>
  </w:style>
  <w:style w:type="numbering" w:customStyle="1" w:styleId="ImportedStyle1">
    <w:name w:val="Imported Style 1"/>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33C98"/>
    <w:pPr>
      <w:tabs>
        <w:tab w:val="center" w:pos="4680"/>
        <w:tab w:val="right" w:pos="9360"/>
      </w:tabs>
    </w:pPr>
  </w:style>
  <w:style w:type="character" w:customStyle="1" w:styleId="HeaderChar">
    <w:name w:val="Header Char"/>
    <w:basedOn w:val="DefaultParagraphFont"/>
    <w:link w:val="Header"/>
    <w:uiPriority w:val="99"/>
    <w:rsid w:val="00233C98"/>
    <w:rPr>
      <w:sz w:val="24"/>
      <w:szCs w:val="24"/>
      <w:lang w:val="en-US"/>
    </w:rPr>
  </w:style>
  <w:style w:type="paragraph" w:styleId="Footer">
    <w:name w:val="footer"/>
    <w:basedOn w:val="Normal"/>
    <w:link w:val="FooterChar"/>
    <w:uiPriority w:val="99"/>
    <w:unhideWhenUsed/>
    <w:rsid w:val="00233C98"/>
    <w:pPr>
      <w:tabs>
        <w:tab w:val="center" w:pos="4680"/>
        <w:tab w:val="right" w:pos="9360"/>
      </w:tabs>
    </w:pPr>
  </w:style>
  <w:style w:type="character" w:customStyle="1" w:styleId="FooterChar">
    <w:name w:val="Footer Char"/>
    <w:basedOn w:val="DefaultParagraphFont"/>
    <w:link w:val="Footer"/>
    <w:uiPriority w:val="99"/>
    <w:rsid w:val="00233C98"/>
    <w:rPr>
      <w:sz w:val="24"/>
      <w:szCs w:val="24"/>
      <w:lang w:val="en-US"/>
    </w:rPr>
  </w:style>
  <w:style w:type="paragraph" w:styleId="BalloonText">
    <w:name w:val="Balloon Text"/>
    <w:basedOn w:val="Normal"/>
    <w:link w:val="BalloonTextChar"/>
    <w:uiPriority w:val="99"/>
    <w:semiHidden/>
    <w:unhideWhenUsed/>
    <w:rsid w:val="00233C98"/>
    <w:rPr>
      <w:sz w:val="18"/>
      <w:szCs w:val="18"/>
    </w:rPr>
  </w:style>
  <w:style w:type="character" w:customStyle="1" w:styleId="BalloonTextChar">
    <w:name w:val="Balloon Text Char"/>
    <w:basedOn w:val="DefaultParagraphFont"/>
    <w:link w:val="BalloonText"/>
    <w:uiPriority w:val="99"/>
    <w:semiHidden/>
    <w:rsid w:val="00233C98"/>
    <w:rPr>
      <w:sz w:val="18"/>
      <w:szCs w:val="18"/>
      <w:lang w:val="en-US"/>
    </w:rPr>
  </w:style>
  <w:style w:type="character" w:customStyle="1" w:styleId="UnresolvedMention1">
    <w:name w:val="Unresolved Mention1"/>
    <w:basedOn w:val="DefaultParagraphFont"/>
    <w:uiPriority w:val="99"/>
    <w:semiHidden/>
    <w:unhideWhenUsed/>
    <w:rsid w:val="00233C98"/>
    <w:rPr>
      <w:color w:val="605E5C"/>
      <w:shd w:val="clear" w:color="auto" w:fill="E1DFDD"/>
    </w:rPr>
  </w:style>
  <w:style w:type="character" w:customStyle="1" w:styleId="Heading1Char">
    <w:name w:val="Heading 1 Char"/>
    <w:basedOn w:val="DefaultParagraphFont"/>
    <w:link w:val="Heading1"/>
    <w:uiPriority w:val="9"/>
    <w:rsid w:val="00D958F9"/>
    <w:rPr>
      <w:rFonts w:ascii="Calibri" w:eastAsiaTheme="majorEastAsia" w:hAnsi="Calibri" w:cstheme="majorBidi"/>
      <w:b/>
      <w:bCs/>
      <w:sz w:val="20"/>
      <w:szCs w:val="32"/>
    </w:rPr>
  </w:style>
  <w:style w:type="character" w:customStyle="1" w:styleId="Heading2Char">
    <w:name w:val="Heading 2 Char"/>
    <w:basedOn w:val="DefaultParagraphFont"/>
    <w:link w:val="Heading2"/>
    <w:uiPriority w:val="9"/>
    <w:rsid w:val="00007464"/>
    <w:rPr>
      <w:rFonts w:ascii="Calibri" w:hAnsi="Calibri" w:cs="Calibri"/>
      <w:b/>
      <w:bCs/>
      <w:sz w:val="20"/>
      <w:szCs w:val="20"/>
    </w:rPr>
  </w:style>
  <w:style w:type="character" w:customStyle="1" w:styleId="Heading3Char">
    <w:name w:val="Heading 3 Char"/>
    <w:basedOn w:val="DefaultParagraphFont"/>
    <w:link w:val="Heading3"/>
    <w:uiPriority w:val="9"/>
    <w:semiHidden/>
    <w:rsid w:val="00016AF5"/>
    <w:rPr>
      <w:rFonts w:asciiTheme="majorHAnsi" w:eastAsiaTheme="majorEastAsia" w:hAnsiTheme="majorHAnsi" w:cstheme="majorBidi"/>
      <w:color w:val="1F4E69" w:themeColor="accent1" w:themeShade="7F"/>
      <w:sz w:val="24"/>
      <w:szCs w:val="24"/>
    </w:rPr>
  </w:style>
  <w:style w:type="character" w:customStyle="1" w:styleId="Heading4Char">
    <w:name w:val="Heading 4 Char"/>
    <w:basedOn w:val="DefaultParagraphFont"/>
    <w:link w:val="Heading4"/>
    <w:uiPriority w:val="9"/>
    <w:semiHidden/>
    <w:rsid w:val="00016AF5"/>
    <w:rPr>
      <w:rFonts w:asciiTheme="majorHAnsi" w:eastAsiaTheme="majorEastAsia" w:hAnsiTheme="majorHAnsi" w:cstheme="majorBidi"/>
      <w:i/>
      <w:iCs/>
      <w:color w:val="2F759E" w:themeColor="accent1" w:themeShade="BF"/>
      <w:sz w:val="20"/>
    </w:rPr>
  </w:style>
  <w:style w:type="character" w:customStyle="1" w:styleId="Heading5Char">
    <w:name w:val="Heading 5 Char"/>
    <w:basedOn w:val="DefaultParagraphFont"/>
    <w:link w:val="Heading5"/>
    <w:uiPriority w:val="9"/>
    <w:semiHidden/>
    <w:rsid w:val="00016AF5"/>
    <w:rPr>
      <w:rFonts w:asciiTheme="majorHAnsi" w:eastAsiaTheme="majorEastAsia" w:hAnsiTheme="majorHAnsi" w:cstheme="majorBidi"/>
      <w:color w:val="2F759E" w:themeColor="accent1" w:themeShade="BF"/>
      <w:sz w:val="20"/>
    </w:rPr>
  </w:style>
  <w:style w:type="character" w:customStyle="1" w:styleId="Heading6Char">
    <w:name w:val="Heading 6 Char"/>
    <w:basedOn w:val="DefaultParagraphFont"/>
    <w:link w:val="Heading6"/>
    <w:uiPriority w:val="9"/>
    <w:semiHidden/>
    <w:rsid w:val="00016AF5"/>
    <w:rPr>
      <w:rFonts w:asciiTheme="majorHAnsi" w:eastAsiaTheme="majorEastAsia" w:hAnsiTheme="majorHAnsi" w:cstheme="majorBidi"/>
      <w:color w:val="1F4E69" w:themeColor="accent1" w:themeShade="7F"/>
      <w:sz w:val="20"/>
    </w:rPr>
  </w:style>
  <w:style w:type="character" w:customStyle="1" w:styleId="Heading7Char">
    <w:name w:val="Heading 7 Char"/>
    <w:basedOn w:val="DefaultParagraphFont"/>
    <w:link w:val="Heading7"/>
    <w:uiPriority w:val="9"/>
    <w:semiHidden/>
    <w:rsid w:val="00016AF5"/>
    <w:rPr>
      <w:rFonts w:asciiTheme="majorHAnsi" w:eastAsiaTheme="majorEastAsia" w:hAnsiTheme="majorHAnsi" w:cstheme="majorBidi"/>
      <w:i/>
      <w:iCs/>
      <w:color w:val="1F4E69" w:themeColor="accent1" w:themeShade="7F"/>
      <w:sz w:val="20"/>
    </w:rPr>
  </w:style>
  <w:style w:type="character" w:customStyle="1" w:styleId="Heading8Char">
    <w:name w:val="Heading 8 Char"/>
    <w:basedOn w:val="DefaultParagraphFont"/>
    <w:link w:val="Heading8"/>
    <w:uiPriority w:val="9"/>
    <w:semiHidden/>
    <w:rsid w:val="00016A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6AF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B32D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2487"/>
    <w:pPr>
      <w:ind w:left="720"/>
      <w:contextualSpacing/>
    </w:pPr>
  </w:style>
  <w:style w:type="character" w:styleId="UnresolvedMention">
    <w:name w:val="Unresolved Mention"/>
    <w:basedOn w:val="DefaultParagraphFont"/>
    <w:uiPriority w:val="99"/>
    <w:semiHidden/>
    <w:unhideWhenUsed/>
    <w:rsid w:val="001D3348"/>
    <w:rPr>
      <w:color w:val="605E5C"/>
      <w:shd w:val="clear" w:color="auto" w:fill="E1DFDD"/>
    </w:rPr>
  </w:style>
  <w:style w:type="character" w:customStyle="1" w:styleId="citation-url">
    <w:name w:val="citation-url"/>
    <w:basedOn w:val="DefaultParagraphFont"/>
    <w:rsid w:val="009C724B"/>
  </w:style>
  <w:style w:type="character" w:styleId="CommentReference">
    <w:name w:val="annotation reference"/>
    <w:basedOn w:val="DefaultParagraphFont"/>
    <w:uiPriority w:val="99"/>
    <w:semiHidden/>
    <w:unhideWhenUsed/>
    <w:rsid w:val="00B82DC8"/>
    <w:rPr>
      <w:sz w:val="16"/>
      <w:szCs w:val="16"/>
    </w:rPr>
  </w:style>
  <w:style w:type="paragraph" w:styleId="CommentText">
    <w:name w:val="annotation text"/>
    <w:basedOn w:val="Normal"/>
    <w:link w:val="CommentTextChar"/>
    <w:uiPriority w:val="99"/>
    <w:semiHidden/>
    <w:unhideWhenUsed/>
    <w:rsid w:val="00B82DC8"/>
  </w:style>
  <w:style w:type="character" w:customStyle="1" w:styleId="CommentTextChar">
    <w:name w:val="Comment Text Char"/>
    <w:basedOn w:val="DefaultParagraphFont"/>
    <w:link w:val="CommentText"/>
    <w:uiPriority w:val="99"/>
    <w:semiHidden/>
    <w:rsid w:val="00B82DC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B82DC8"/>
    <w:rPr>
      <w:b/>
      <w:bCs/>
    </w:rPr>
  </w:style>
  <w:style w:type="character" w:customStyle="1" w:styleId="CommentSubjectChar">
    <w:name w:val="Comment Subject Char"/>
    <w:basedOn w:val="CommentTextChar"/>
    <w:link w:val="CommentSubject"/>
    <w:uiPriority w:val="99"/>
    <w:semiHidden/>
    <w:rsid w:val="00B82DC8"/>
    <w:rPr>
      <w:rFonts w:ascii="Calibri" w:hAnsi="Calibri" w:cs="Calibri"/>
      <w:b/>
      <w:bCs/>
      <w:sz w:val="20"/>
      <w:szCs w:val="20"/>
    </w:rPr>
  </w:style>
  <w:style w:type="paragraph" w:styleId="Revision">
    <w:name w:val="Revision"/>
    <w:hidden/>
    <w:uiPriority w:val="99"/>
    <w:semiHidden/>
    <w:rsid w:val="00B82DC8"/>
    <w:pPr>
      <w:spacing w:after="0" w:line="240" w:lineRule="auto"/>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63217">
      <w:bodyDiv w:val="1"/>
      <w:marLeft w:val="0"/>
      <w:marRight w:val="0"/>
      <w:marTop w:val="0"/>
      <w:marBottom w:val="0"/>
      <w:divBdr>
        <w:top w:val="none" w:sz="0" w:space="0" w:color="auto"/>
        <w:left w:val="none" w:sz="0" w:space="0" w:color="auto"/>
        <w:bottom w:val="none" w:sz="0" w:space="0" w:color="auto"/>
        <w:right w:val="none" w:sz="0" w:space="0" w:color="auto"/>
      </w:divBdr>
    </w:div>
    <w:div w:id="1417557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D0C80-C744-4E4B-A1F1-2095A6328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2062</Words>
  <Characters>11756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sutton hoo ships company, The longshed, tide</dc:creator>
  <cp:lastModifiedBy>Joe Startin</cp:lastModifiedBy>
  <cp:revision>5</cp:revision>
  <cp:lastPrinted>2019-03-05T07:58:00Z</cp:lastPrinted>
  <dcterms:created xsi:type="dcterms:W3CDTF">2021-08-05T20:44:00Z</dcterms:created>
  <dcterms:modified xsi:type="dcterms:W3CDTF">2021-08-06T20:06:00Z</dcterms:modified>
</cp:coreProperties>
</file>